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48" w:rsidRDefault="00053647">
      <w:pPr>
        <w:pStyle w:val="NormalWeb"/>
        <w:spacing w:before="0" w:after="160"/>
        <w:jc w:val="center"/>
      </w:pPr>
      <w:bookmarkStart w:id="0" w:name="_Toc357771638"/>
      <w:bookmarkStart w:id="1" w:name="_Toc346793416"/>
      <w:bookmarkStart w:id="2" w:name="_Toc328122777"/>
      <w:bookmarkStart w:id="3" w:name="_GoBack"/>
      <w:bookmarkEnd w:id="3"/>
      <w:r>
        <w:rPr>
          <w:rFonts w:ascii="Arial" w:hAnsi="Arial" w:cs="Arial"/>
          <w:noProof/>
          <w:color w:val="002060"/>
          <w:sz w:val="32"/>
          <w:szCs w:val="32"/>
        </w:rPr>
        <w:drawing>
          <wp:anchor distT="0" distB="0" distL="114300" distR="114300" simplePos="0" relativeHeight="251661312" behindDoc="0" locked="0" layoutInCell="1" allowOverlap="1">
            <wp:simplePos x="0" y="0"/>
            <wp:positionH relativeFrom="page">
              <wp:align>center</wp:align>
            </wp:positionH>
            <wp:positionV relativeFrom="paragraph">
              <wp:posOffset>0</wp:posOffset>
            </wp:positionV>
            <wp:extent cx="1645920" cy="1021083"/>
            <wp:effectExtent l="0" t="0" r="0" b="7617"/>
            <wp:wrapTopAndBottom/>
            <wp:docPr id="1" name="image1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45920" cy="1021083"/>
                    </a:xfrm>
                    <a:prstGeom prst="rect">
                      <a:avLst/>
                    </a:prstGeom>
                    <a:noFill/>
                    <a:ln>
                      <a:noFill/>
                      <a:prstDash/>
                    </a:ln>
                  </pic:spPr>
                </pic:pic>
              </a:graphicData>
            </a:graphic>
          </wp:anchor>
        </w:drawing>
      </w:r>
      <w:r>
        <w:rPr>
          <w:rFonts w:ascii="Arial" w:hAnsi="Arial" w:cs="Arial"/>
          <w:b/>
          <w:bCs/>
          <w:color w:val="002060"/>
          <w:sz w:val="32"/>
          <w:szCs w:val="32"/>
        </w:rPr>
        <w:t>Pupil Premium Policy</w:t>
      </w:r>
    </w:p>
    <w:p w:rsidR="00F72948" w:rsidRDefault="00053647">
      <w:pPr>
        <w:spacing w:after="0" w:line="240" w:lineRule="auto"/>
        <w:ind w:right="-143"/>
        <w:jc w:val="both"/>
        <w:rPr>
          <w:b/>
          <w:bCs/>
          <w:color w:val="002060"/>
        </w:rPr>
      </w:pPr>
      <w:r>
        <w:rPr>
          <w:b/>
          <w:bCs/>
          <w:color w:val="002060"/>
        </w:rPr>
        <w:t>Background</w:t>
      </w:r>
    </w:p>
    <w:p w:rsidR="00F72948" w:rsidRDefault="00053647">
      <w:pPr>
        <w:spacing w:after="0" w:line="240" w:lineRule="auto"/>
        <w:ind w:right="-142"/>
        <w:jc w:val="both"/>
      </w:pPr>
      <w:r>
        <w:rPr>
          <w:color w:val="0B0C0C"/>
        </w:rPr>
        <w:t>Evidence shows that children from disadvantaged backgrounds</w:t>
      </w:r>
      <w:r>
        <w:t xml:space="preserve"> </w:t>
      </w:r>
      <w:r>
        <w:rPr>
          <w:color w:val="0B0C0C"/>
        </w:rPr>
        <w:t xml:space="preserve">generally face extra challenges in reaching their potential at school and often do not </w:t>
      </w:r>
      <w:r>
        <w:rPr>
          <w:color w:val="0B0C0C"/>
        </w:rPr>
        <w:t>perform as well as their peers.</w:t>
      </w:r>
      <w:r>
        <w:t xml:space="preserve">  Therefore, </w:t>
      </w:r>
      <w:r>
        <w:rPr>
          <w:color w:val="0B0C0C"/>
        </w:rPr>
        <w:t>publicly funded schools in England receive additional funding (pupil premium) from the government to help overcome barriers to learning and improve the progress and outcomes of disadvantaged pupils.</w:t>
      </w:r>
    </w:p>
    <w:p w:rsidR="00F72948" w:rsidRDefault="00F72948">
      <w:pPr>
        <w:spacing w:after="0" w:line="240" w:lineRule="auto"/>
        <w:ind w:right="-142"/>
        <w:jc w:val="both"/>
      </w:pPr>
    </w:p>
    <w:p w:rsidR="00F72948" w:rsidRDefault="00053647">
      <w:pPr>
        <w:spacing w:after="0" w:line="240" w:lineRule="auto"/>
        <w:ind w:right="-142"/>
        <w:jc w:val="both"/>
        <w:rPr>
          <w:b/>
          <w:bCs/>
          <w:color w:val="002060"/>
        </w:rPr>
      </w:pPr>
      <w:r>
        <w:rPr>
          <w:b/>
          <w:bCs/>
          <w:color w:val="002060"/>
        </w:rPr>
        <w:t>Aims</w:t>
      </w:r>
    </w:p>
    <w:p w:rsidR="00F72948" w:rsidRDefault="00053647">
      <w:pPr>
        <w:spacing w:after="0" w:line="240" w:lineRule="auto"/>
        <w:ind w:right="-142"/>
        <w:jc w:val="both"/>
      </w:pPr>
      <w:r>
        <w:rPr>
          <w:bCs/>
          <w:color w:val="auto"/>
        </w:rPr>
        <w:t xml:space="preserve">School </w:t>
      </w:r>
      <w:r>
        <w:rPr>
          <w:bCs/>
          <w:color w:val="auto"/>
        </w:rPr>
        <w:t>leaders know their schools best and should therefore make decisions on how to spend pupil premium funding. This policy offers guidance to schools within Humber Education Trust in securing the most effective use of pupil premium funding and securing the bes</w:t>
      </w:r>
      <w:r>
        <w:rPr>
          <w:bCs/>
          <w:color w:val="auto"/>
        </w:rPr>
        <w:t>t possible outcomes for our disadvantaged pupils.</w:t>
      </w:r>
    </w:p>
    <w:p w:rsidR="00F72948" w:rsidRDefault="00F72948">
      <w:pPr>
        <w:spacing w:after="0" w:line="240" w:lineRule="auto"/>
        <w:ind w:right="-142"/>
        <w:jc w:val="both"/>
        <w:rPr>
          <w:b/>
          <w:bCs/>
          <w:color w:val="FF0000"/>
        </w:rPr>
      </w:pPr>
    </w:p>
    <w:p w:rsidR="00F72948" w:rsidRDefault="00F72948">
      <w:pPr>
        <w:spacing w:after="0" w:line="240" w:lineRule="auto"/>
        <w:ind w:right="-142"/>
        <w:jc w:val="both"/>
        <w:rPr>
          <w:b/>
          <w:bCs/>
          <w:color w:val="FF0000"/>
        </w:rPr>
      </w:pPr>
    </w:p>
    <w:p w:rsidR="00F72948" w:rsidRDefault="00053647">
      <w:pPr>
        <w:spacing w:after="0" w:line="240" w:lineRule="auto"/>
        <w:ind w:right="-142"/>
        <w:jc w:val="both"/>
        <w:rPr>
          <w:b/>
          <w:bCs/>
          <w:color w:val="002060"/>
        </w:rPr>
      </w:pPr>
      <w:r>
        <w:rPr>
          <w:b/>
          <w:bCs/>
          <w:color w:val="002060"/>
        </w:rPr>
        <w:t>Eligibility and funding</w:t>
      </w:r>
    </w:p>
    <w:p w:rsidR="00F72948" w:rsidRDefault="00053647">
      <w:pPr>
        <w:spacing w:after="0" w:line="240" w:lineRule="auto"/>
        <w:ind w:right="-142"/>
        <w:jc w:val="both"/>
      </w:pPr>
      <w:r>
        <w:rPr>
          <w:color w:val="0B0C0C"/>
          <w:shd w:val="clear" w:color="auto" w:fill="FFFFFF"/>
        </w:rPr>
        <w:t>Pupil premium funding based on the number of pupils in school in January each year from the following groups:</w:t>
      </w:r>
    </w:p>
    <w:p w:rsidR="00F72948" w:rsidRDefault="00053647">
      <w:pPr>
        <w:pStyle w:val="ListParagraph"/>
        <w:numPr>
          <w:ilvl w:val="0"/>
          <w:numId w:val="26"/>
        </w:numPr>
        <w:spacing w:after="0" w:line="240" w:lineRule="auto"/>
        <w:ind w:right="-142"/>
        <w:jc w:val="both"/>
      </w:pPr>
      <w:r>
        <w:rPr>
          <w:color w:val="0B0C0C"/>
          <w:shd w:val="clear" w:color="auto" w:fill="FFFFFF"/>
        </w:rPr>
        <w:t>Free school meals;</w:t>
      </w:r>
    </w:p>
    <w:p w:rsidR="00F72948" w:rsidRDefault="00053647">
      <w:pPr>
        <w:pStyle w:val="ListParagraph"/>
        <w:numPr>
          <w:ilvl w:val="0"/>
          <w:numId w:val="26"/>
        </w:numPr>
        <w:spacing w:after="0" w:line="240" w:lineRule="auto"/>
        <w:ind w:right="-142"/>
        <w:jc w:val="both"/>
        <w:rPr>
          <w:color w:val="0B0C0C"/>
        </w:rPr>
      </w:pPr>
      <w:r>
        <w:rPr>
          <w:color w:val="0B0C0C"/>
        </w:rPr>
        <w:t>Looked-after and previously looked-after children;</w:t>
      </w:r>
    </w:p>
    <w:p w:rsidR="00F72948" w:rsidRDefault="00053647">
      <w:pPr>
        <w:pStyle w:val="ListParagraph"/>
        <w:numPr>
          <w:ilvl w:val="0"/>
          <w:numId w:val="26"/>
        </w:numPr>
        <w:spacing w:after="0" w:line="240" w:lineRule="auto"/>
        <w:ind w:right="-142"/>
        <w:jc w:val="both"/>
      </w:pPr>
      <w:r>
        <w:rPr>
          <w:color w:val="0B0C0C"/>
        </w:rPr>
        <w:t>Service premium   - whilst paid to schools with the pupil premium the service premium is not part of the pupil premium and eligibility relates to pupils with a parent serving in HM Forces or in in receipt of a pension from the Ministry of Defence.  This fu</w:t>
      </w:r>
      <w:r>
        <w:rPr>
          <w:color w:val="0B0C0C"/>
        </w:rPr>
        <w:t>nding is to help with pastoral support. Pupils who attract the service premium do not form part of the school’s disadvantaged population or data.</w:t>
      </w:r>
    </w:p>
    <w:p w:rsidR="00F72948" w:rsidRDefault="00F72948">
      <w:pPr>
        <w:spacing w:after="0" w:line="240" w:lineRule="auto"/>
        <w:ind w:right="-142"/>
        <w:jc w:val="both"/>
      </w:pPr>
    </w:p>
    <w:p w:rsidR="00F72948" w:rsidRDefault="00053647">
      <w:pPr>
        <w:spacing w:after="0" w:line="240" w:lineRule="auto"/>
        <w:ind w:right="-142"/>
        <w:jc w:val="both"/>
        <w:rPr>
          <w:b/>
          <w:bCs/>
          <w:color w:val="002060"/>
        </w:rPr>
      </w:pPr>
      <w:r>
        <w:rPr>
          <w:b/>
          <w:bCs/>
          <w:color w:val="002060"/>
        </w:rPr>
        <w:t>Non-eligible pupils</w:t>
      </w:r>
    </w:p>
    <w:p w:rsidR="00F72948" w:rsidRDefault="00053647">
      <w:pPr>
        <w:spacing w:after="0" w:line="240" w:lineRule="auto"/>
        <w:ind w:right="-142"/>
        <w:jc w:val="both"/>
      </w:pPr>
      <w:r>
        <w:t xml:space="preserve">Schools may spend their pupil premium funding on pupils who do not meet the eligibility </w:t>
      </w:r>
      <w:r>
        <w:t>criteria but need additional support. For example:</w:t>
      </w:r>
    </w:p>
    <w:p w:rsidR="00F72948" w:rsidRDefault="00053647">
      <w:pPr>
        <w:pStyle w:val="ListParagraph"/>
        <w:numPr>
          <w:ilvl w:val="0"/>
          <w:numId w:val="27"/>
        </w:numPr>
        <w:spacing w:after="0" w:line="240" w:lineRule="auto"/>
        <w:ind w:right="-142"/>
        <w:jc w:val="both"/>
      </w:pPr>
      <w:r>
        <w:t>are in contact with a social worker</w:t>
      </w:r>
    </w:p>
    <w:p w:rsidR="00F72948" w:rsidRDefault="00053647">
      <w:pPr>
        <w:pStyle w:val="ListParagraph"/>
        <w:numPr>
          <w:ilvl w:val="0"/>
          <w:numId w:val="27"/>
        </w:numPr>
        <w:spacing w:after="0" w:line="240" w:lineRule="auto"/>
        <w:ind w:right="-142"/>
        <w:jc w:val="both"/>
      </w:pPr>
      <w:r>
        <w:t>used to be in contact with a social worker</w:t>
      </w:r>
    </w:p>
    <w:p w:rsidR="00F72948" w:rsidRDefault="00053647">
      <w:pPr>
        <w:pStyle w:val="ListParagraph"/>
        <w:numPr>
          <w:ilvl w:val="0"/>
          <w:numId w:val="27"/>
        </w:numPr>
        <w:spacing w:after="0" w:line="240" w:lineRule="auto"/>
        <w:ind w:right="-142"/>
        <w:jc w:val="both"/>
      </w:pPr>
      <w:r>
        <w:t>are acting as a carer</w:t>
      </w:r>
    </w:p>
    <w:p w:rsidR="00F72948" w:rsidRDefault="00F72948">
      <w:pPr>
        <w:pStyle w:val="ListParagraph"/>
        <w:numPr>
          <w:ilvl w:val="0"/>
          <w:numId w:val="0"/>
        </w:numPr>
        <w:spacing w:after="0" w:line="240" w:lineRule="auto"/>
        <w:ind w:left="720" w:right="-142" w:hanging="360"/>
        <w:jc w:val="both"/>
      </w:pPr>
    </w:p>
    <w:p w:rsidR="00F72948" w:rsidRDefault="00053647">
      <w:pPr>
        <w:spacing w:after="0" w:line="240" w:lineRule="auto"/>
        <w:ind w:right="-142"/>
        <w:jc w:val="both"/>
        <w:rPr>
          <w:b/>
          <w:bCs/>
          <w:color w:val="002060"/>
        </w:rPr>
      </w:pPr>
      <w:r>
        <w:rPr>
          <w:b/>
          <w:bCs/>
          <w:color w:val="002060"/>
        </w:rPr>
        <w:t>Allocation of additional funding</w:t>
      </w:r>
    </w:p>
    <w:p w:rsidR="00F72948" w:rsidRDefault="00053647">
      <w:pPr>
        <w:spacing w:after="0" w:line="240" w:lineRule="auto"/>
        <w:ind w:right="-142"/>
        <w:jc w:val="both"/>
      </w:pPr>
      <w:r>
        <w:t>All schools in Humber Education Trust will the Education Endowment Fou</w:t>
      </w:r>
      <w:r>
        <w:t xml:space="preserve">ndation (EEF) Guide to the Pupil Premium.  This includes the following 5 key principles of spending: </w:t>
      </w:r>
    </w:p>
    <w:p w:rsidR="00F72948" w:rsidRDefault="00053647">
      <w:pPr>
        <w:pStyle w:val="ListParagraph"/>
        <w:numPr>
          <w:ilvl w:val="0"/>
          <w:numId w:val="28"/>
        </w:numPr>
        <w:spacing w:after="0" w:line="240" w:lineRule="auto"/>
        <w:ind w:right="-143"/>
        <w:jc w:val="both"/>
        <w:rPr>
          <w:color w:val="auto"/>
        </w:rPr>
      </w:pPr>
      <w:r>
        <w:rPr>
          <w:color w:val="auto"/>
        </w:rPr>
        <w:t>Schools can make a difference in narrowing attainment gaps;</w:t>
      </w:r>
    </w:p>
    <w:p w:rsidR="00F72948" w:rsidRDefault="00053647">
      <w:pPr>
        <w:pStyle w:val="ListParagraph"/>
        <w:numPr>
          <w:ilvl w:val="0"/>
          <w:numId w:val="28"/>
        </w:numPr>
        <w:spacing w:after="0" w:line="240" w:lineRule="auto"/>
        <w:ind w:right="-143"/>
        <w:jc w:val="both"/>
        <w:rPr>
          <w:color w:val="auto"/>
        </w:rPr>
      </w:pPr>
      <w:r>
        <w:rPr>
          <w:color w:val="auto"/>
        </w:rPr>
        <w:t xml:space="preserve">Evidence-informed teachers and leaders must combine research findings with professional </w:t>
      </w:r>
      <w:r>
        <w:rPr>
          <w:color w:val="auto"/>
        </w:rPr>
        <w:t>expertise to make decisions;</w:t>
      </w:r>
    </w:p>
    <w:p w:rsidR="00F72948" w:rsidRDefault="00053647">
      <w:pPr>
        <w:pStyle w:val="ListParagraph"/>
        <w:numPr>
          <w:ilvl w:val="0"/>
          <w:numId w:val="28"/>
        </w:numPr>
        <w:spacing w:after="0" w:line="240" w:lineRule="auto"/>
        <w:ind w:right="-143"/>
        <w:jc w:val="both"/>
        <w:rPr>
          <w:color w:val="auto"/>
        </w:rPr>
      </w:pPr>
      <w:r>
        <w:rPr>
          <w:color w:val="auto"/>
        </w:rPr>
        <w:t>Quality First Teaching helps every child;</w:t>
      </w:r>
    </w:p>
    <w:p w:rsidR="00F72948" w:rsidRDefault="00053647">
      <w:pPr>
        <w:pStyle w:val="ListParagraph"/>
        <w:numPr>
          <w:ilvl w:val="0"/>
          <w:numId w:val="28"/>
        </w:numPr>
        <w:spacing w:after="0" w:line="240" w:lineRule="auto"/>
        <w:ind w:right="-143"/>
        <w:jc w:val="both"/>
        <w:rPr>
          <w:color w:val="auto"/>
        </w:rPr>
      </w:pPr>
      <w:r>
        <w:rPr>
          <w:color w:val="auto"/>
        </w:rPr>
        <w:t>Funding must support middle and higher attaining pupils – it must not solely focus on lower ability pupils;</w:t>
      </w:r>
    </w:p>
    <w:p w:rsidR="00F72948" w:rsidRDefault="00053647">
      <w:pPr>
        <w:pStyle w:val="ListParagraph"/>
        <w:numPr>
          <w:ilvl w:val="0"/>
          <w:numId w:val="28"/>
        </w:numPr>
        <w:spacing w:after="0" w:line="240" w:lineRule="auto"/>
        <w:ind w:right="-143"/>
        <w:jc w:val="both"/>
        <w:rPr>
          <w:color w:val="auto"/>
        </w:rPr>
      </w:pPr>
      <w:r>
        <w:rPr>
          <w:color w:val="auto"/>
        </w:rPr>
        <w:t>Focussing on a small number of carefully chosen priorities is effective - les</w:t>
      </w:r>
      <w:r>
        <w:rPr>
          <w:color w:val="auto"/>
        </w:rPr>
        <w:t>s can be more.</w:t>
      </w:r>
    </w:p>
    <w:p w:rsidR="00F72948" w:rsidRDefault="00F72948">
      <w:pPr>
        <w:spacing w:after="0" w:line="240" w:lineRule="auto"/>
        <w:ind w:right="-143"/>
        <w:jc w:val="both"/>
        <w:rPr>
          <w:rFonts w:cs="Arial"/>
        </w:rPr>
      </w:pPr>
    </w:p>
    <w:p w:rsidR="00F72948" w:rsidRDefault="00053647">
      <w:pPr>
        <w:spacing w:after="0" w:line="240" w:lineRule="auto"/>
        <w:ind w:right="-143"/>
        <w:jc w:val="both"/>
        <w:rPr>
          <w:rFonts w:cs="Arial"/>
        </w:rPr>
      </w:pPr>
      <w:r>
        <w:rPr>
          <w:rFonts w:cs="Arial"/>
        </w:rPr>
        <w:lastRenderedPageBreak/>
        <w:t>In line with the EEF Guide, all schools within Humber Education Trust will adopt a tiered approach to Pupil Premium spending. They are as follows:</w:t>
      </w:r>
    </w:p>
    <w:p w:rsidR="00F72948" w:rsidRDefault="00F72948">
      <w:pPr>
        <w:suppressAutoHyphens w:val="0"/>
        <w:autoSpaceDE w:val="0"/>
        <w:spacing w:after="0" w:line="240" w:lineRule="auto"/>
        <w:textAlignment w:val="auto"/>
        <w:rPr>
          <w:rFonts w:cs="Arial"/>
          <w:b/>
          <w:bCs/>
        </w:rPr>
      </w:pPr>
    </w:p>
    <w:p w:rsidR="00F72948" w:rsidRDefault="00053647">
      <w:pPr>
        <w:suppressAutoHyphens w:val="0"/>
        <w:autoSpaceDE w:val="0"/>
        <w:spacing w:after="0" w:line="240" w:lineRule="auto"/>
        <w:textAlignment w:val="auto"/>
        <w:rPr>
          <w:rFonts w:cs="Arial"/>
          <w:b/>
          <w:bCs/>
          <w:color w:val="002060"/>
        </w:rPr>
      </w:pPr>
      <w:r>
        <w:rPr>
          <w:rFonts w:cs="Arial"/>
          <w:b/>
          <w:bCs/>
          <w:color w:val="002060"/>
        </w:rPr>
        <w:t xml:space="preserve">Quality First Teaching </w:t>
      </w:r>
    </w:p>
    <w:p w:rsidR="00F72948" w:rsidRDefault="00053647">
      <w:pPr>
        <w:suppressAutoHyphens w:val="0"/>
        <w:autoSpaceDE w:val="0"/>
        <w:spacing w:after="0" w:line="240" w:lineRule="auto"/>
        <w:textAlignment w:val="auto"/>
        <w:rPr>
          <w:rFonts w:cs="Arial"/>
          <w:color w:val="auto"/>
          <w:lang w:val="en-US"/>
        </w:rPr>
      </w:pPr>
      <w:r>
        <w:rPr>
          <w:rFonts w:cs="Arial"/>
          <w:color w:val="auto"/>
          <w:lang w:val="en-US"/>
        </w:rPr>
        <w:t>Ensuring an effective teacher is in front of every class, and that e</w:t>
      </w:r>
      <w:r>
        <w:rPr>
          <w:rFonts w:cs="Arial"/>
          <w:color w:val="auto"/>
          <w:lang w:val="en-US"/>
        </w:rPr>
        <w:t xml:space="preserve">very teacher is </w:t>
      </w:r>
    </w:p>
    <w:p w:rsidR="00F72948" w:rsidRDefault="00053647">
      <w:pPr>
        <w:suppressAutoHyphens w:val="0"/>
        <w:autoSpaceDE w:val="0"/>
        <w:spacing w:after="0" w:line="240" w:lineRule="auto"/>
        <w:textAlignment w:val="auto"/>
      </w:pPr>
      <w:proofErr w:type="gramStart"/>
      <w:r>
        <w:rPr>
          <w:rFonts w:cs="Arial"/>
          <w:color w:val="auto"/>
          <w:lang w:val="en-US"/>
        </w:rPr>
        <w:t>supported</w:t>
      </w:r>
      <w:proofErr w:type="gramEnd"/>
      <w:r>
        <w:rPr>
          <w:rFonts w:cs="Arial"/>
          <w:color w:val="auto"/>
          <w:lang w:val="en-US"/>
        </w:rPr>
        <w:t xml:space="preserve"> to keep improving, is the key ingredient of a successful school and should rightly be the </w:t>
      </w:r>
      <w:r>
        <w:rPr>
          <w:rFonts w:cs="Arial"/>
          <w:b/>
          <w:i/>
          <w:color w:val="auto"/>
          <w:lang w:val="en-US"/>
        </w:rPr>
        <w:t>top priority for Pupil Premium spending</w:t>
      </w:r>
      <w:r>
        <w:rPr>
          <w:rFonts w:cs="Arial"/>
          <w:color w:val="auto"/>
          <w:lang w:val="en-US"/>
        </w:rPr>
        <w:t xml:space="preserve">.  Spending on improving </w:t>
      </w:r>
    </w:p>
    <w:p w:rsidR="00F72948" w:rsidRDefault="00053647">
      <w:pPr>
        <w:suppressAutoHyphens w:val="0"/>
        <w:autoSpaceDE w:val="0"/>
        <w:spacing w:after="0" w:line="240" w:lineRule="auto"/>
        <w:textAlignment w:val="auto"/>
        <w:rPr>
          <w:rFonts w:cs="Arial"/>
          <w:color w:val="auto"/>
          <w:lang w:val="en-US"/>
        </w:rPr>
      </w:pPr>
      <w:proofErr w:type="gramStart"/>
      <w:r>
        <w:rPr>
          <w:rFonts w:cs="Arial"/>
          <w:color w:val="auto"/>
          <w:lang w:val="en-US"/>
        </w:rPr>
        <w:t>teaching</w:t>
      </w:r>
      <w:proofErr w:type="gramEnd"/>
      <w:r>
        <w:rPr>
          <w:rFonts w:cs="Arial"/>
          <w:color w:val="auto"/>
          <w:lang w:val="en-US"/>
        </w:rPr>
        <w:t xml:space="preserve"> might, but not exclusively, include professional development, </w:t>
      </w:r>
      <w:r>
        <w:rPr>
          <w:rFonts w:cs="Arial"/>
          <w:color w:val="auto"/>
          <w:lang w:val="en-US"/>
        </w:rPr>
        <w:t xml:space="preserve">training and </w:t>
      </w:r>
    </w:p>
    <w:p w:rsidR="00F72948" w:rsidRDefault="00053647">
      <w:pPr>
        <w:suppressAutoHyphens w:val="0"/>
        <w:autoSpaceDE w:val="0"/>
        <w:spacing w:after="0" w:line="240" w:lineRule="auto"/>
        <w:textAlignment w:val="auto"/>
        <w:rPr>
          <w:rFonts w:cs="Arial"/>
          <w:color w:val="auto"/>
          <w:lang w:val="en-US"/>
        </w:rPr>
      </w:pPr>
      <w:proofErr w:type="gramStart"/>
      <w:r>
        <w:rPr>
          <w:rFonts w:cs="Arial"/>
          <w:color w:val="auto"/>
          <w:lang w:val="en-US"/>
        </w:rPr>
        <w:t>support</w:t>
      </w:r>
      <w:proofErr w:type="gramEnd"/>
      <w:r>
        <w:rPr>
          <w:rFonts w:cs="Arial"/>
          <w:color w:val="auto"/>
          <w:lang w:val="en-US"/>
        </w:rPr>
        <w:t xml:space="preserve"> for early career teachers and recruitment and retention.</w:t>
      </w:r>
    </w:p>
    <w:p w:rsidR="00F72948" w:rsidRDefault="00F72948">
      <w:pPr>
        <w:spacing w:after="0" w:line="240" w:lineRule="auto"/>
        <w:ind w:right="-143"/>
        <w:jc w:val="both"/>
        <w:rPr>
          <w:b/>
          <w:bCs/>
        </w:rPr>
      </w:pPr>
    </w:p>
    <w:p w:rsidR="00F72948" w:rsidRDefault="00053647">
      <w:pPr>
        <w:spacing w:after="0" w:line="240" w:lineRule="auto"/>
        <w:ind w:right="-143"/>
        <w:jc w:val="both"/>
      </w:pPr>
      <w:r>
        <w:rPr>
          <w:b/>
          <w:bCs/>
          <w:color w:val="002060"/>
        </w:rPr>
        <w:t>Targeted academic support</w:t>
      </w:r>
    </w:p>
    <w:p w:rsidR="00F72948" w:rsidRDefault="00053647">
      <w:pPr>
        <w:suppressAutoHyphens w:val="0"/>
        <w:autoSpaceDE w:val="0"/>
        <w:spacing w:after="0" w:line="240" w:lineRule="auto"/>
        <w:textAlignment w:val="auto"/>
        <w:rPr>
          <w:rFonts w:cs="Arial"/>
          <w:color w:val="auto"/>
          <w:lang w:val="en-US"/>
        </w:rPr>
      </w:pPr>
      <w:r>
        <w:rPr>
          <w:rFonts w:cs="Arial"/>
          <w:color w:val="auto"/>
          <w:lang w:val="en-US"/>
        </w:rPr>
        <w:t>Evidence consistently shows the positive impact that targeted academic support can have, including on those who are not making good progress. Consider</w:t>
      </w:r>
      <w:r>
        <w:rPr>
          <w:rFonts w:cs="Arial"/>
          <w:color w:val="auto"/>
          <w:lang w:val="en-US"/>
        </w:rPr>
        <w:t>ing how classroom teachers and teaching assistants can provide targeted academic support, including how to link structured one-to-one or small group intervention to classroom teaching, is likely to be a key component of an effective Pupil Premium strategy.</w:t>
      </w:r>
      <w:r>
        <w:rPr>
          <w:rFonts w:cs="Arial"/>
          <w:color w:val="auto"/>
          <w:lang w:val="en-US"/>
        </w:rPr>
        <w:t xml:space="preserve">  The EEF have evaluated the impact of a range of strategies and schools are encouraged to make use of these resources.</w:t>
      </w:r>
    </w:p>
    <w:p w:rsidR="00F72948" w:rsidRDefault="00F72948">
      <w:pPr>
        <w:spacing w:after="0" w:line="240" w:lineRule="auto"/>
        <w:ind w:right="-143"/>
        <w:jc w:val="both"/>
        <w:rPr>
          <w:b/>
          <w:bCs/>
        </w:rPr>
      </w:pPr>
    </w:p>
    <w:p w:rsidR="00F72948" w:rsidRDefault="00053647">
      <w:pPr>
        <w:spacing w:after="0" w:line="240" w:lineRule="auto"/>
        <w:ind w:right="-143"/>
        <w:jc w:val="both"/>
      </w:pPr>
      <w:r>
        <w:rPr>
          <w:b/>
          <w:bCs/>
          <w:color w:val="002060"/>
        </w:rPr>
        <w:t>Wider strategies</w:t>
      </w:r>
    </w:p>
    <w:p w:rsidR="00F72948" w:rsidRDefault="00053647">
      <w:pPr>
        <w:suppressAutoHyphens w:val="0"/>
        <w:autoSpaceDE w:val="0"/>
        <w:spacing w:after="0" w:line="240" w:lineRule="auto"/>
        <w:textAlignment w:val="auto"/>
        <w:rPr>
          <w:rFonts w:cs="Arial"/>
          <w:color w:val="auto"/>
          <w:lang w:val="en-US"/>
        </w:rPr>
      </w:pPr>
      <w:r>
        <w:rPr>
          <w:rFonts w:cs="Arial"/>
          <w:color w:val="auto"/>
          <w:lang w:val="en-US"/>
        </w:rPr>
        <w:t xml:space="preserve">Wider strategies relate to the most significant non-academic barriers to success in school, including attendance, </w:t>
      </w:r>
      <w:proofErr w:type="spellStart"/>
      <w:r>
        <w:rPr>
          <w:rFonts w:cs="Arial"/>
          <w:color w:val="auto"/>
          <w:lang w:val="en-US"/>
        </w:rPr>
        <w:t>beha</w:t>
      </w:r>
      <w:r>
        <w:rPr>
          <w:rFonts w:cs="Arial"/>
          <w:color w:val="auto"/>
          <w:lang w:val="en-US"/>
        </w:rPr>
        <w:t>viour</w:t>
      </w:r>
      <w:proofErr w:type="spellEnd"/>
      <w:r>
        <w:rPr>
          <w:rFonts w:cs="Arial"/>
          <w:color w:val="auto"/>
          <w:lang w:val="en-US"/>
        </w:rPr>
        <w:t xml:space="preserve"> and social and emotional support. While many barriers may be common between schools, it is also likely that the specific features of the community each school serves will affect spending in this category.</w:t>
      </w:r>
    </w:p>
    <w:p w:rsidR="00F72948" w:rsidRDefault="00F72948">
      <w:pPr>
        <w:spacing w:after="0" w:line="240" w:lineRule="auto"/>
        <w:ind w:right="-143"/>
        <w:jc w:val="both"/>
        <w:rPr>
          <w:b/>
          <w:bCs/>
          <w:color w:val="002060"/>
        </w:rPr>
      </w:pPr>
    </w:p>
    <w:p w:rsidR="00F72948" w:rsidRDefault="00053647">
      <w:pPr>
        <w:spacing w:after="0" w:line="240" w:lineRule="auto"/>
        <w:ind w:right="-143"/>
        <w:jc w:val="both"/>
        <w:rPr>
          <w:b/>
          <w:bCs/>
          <w:color w:val="002060"/>
        </w:rPr>
      </w:pPr>
      <w:r>
        <w:rPr>
          <w:b/>
          <w:bCs/>
          <w:color w:val="002060"/>
        </w:rPr>
        <w:t>Responsibilities</w:t>
      </w:r>
    </w:p>
    <w:p w:rsidR="00F72948" w:rsidRDefault="00053647">
      <w:pPr>
        <w:spacing w:after="0" w:line="240" w:lineRule="auto"/>
        <w:ind w:right="-143"/>
        <w:jc w:val="both"/>
        <w:rPr>
          <w:b/>
          <w:color w:val="002060"/>
        </w:rPr>
      </w:pPr>
      <w:r>
        <w:rPr>
          <w:b/>
          <w:color w:val="002060"/>
        </w:rPr>
        <w:t>Trustees are responsible fo</w:t>
      </w:r>
      <w:r>
        <w:rPr>
          <w:b/>
          <w:color w:val="002060"/>
        </w:rPr>
        <w:t>r:</w:t>
      </w:r>
    </w:p>
    <w:p w:rsidR="00F72948" w:rsidRDefault="00053647">
      <w:pPr>
        <w:pStyle w:val="ListParagraph"/>
        <w:numPr>
          <w:ilvl w:val="0"/>
          <w:numId w:val="29"/>
        </w:numPr>
        <w:spacing w:after="0" w:line="240" w:lineRule="auto"/>
        <w:ind w:right="-143"/>
        <w:jc w:val="both"/>
      </w:pPr>
      <w:r>
        <w:rPr>
          <w:iCs/>
        </w:rPr>
        <w:t>Holding Trust leaders to account in order to ensure the Pupil Premium grant helps all disadvantaged pupils by improving their progress and attainment.</w:t>
      </w:r>
    </w:p>
    <w:p w:rsidR="00F72948" w:rsidRDefault="00F72948">
      <w:pPr>
        <w:spacing w:after="0" w:line="240" w:lineRule="auto"/>
        <w:ind w:right="-143"/>
        <w:jc w:val="both"/>
        <w:rPr>
          <w:rFonts w:ascii="Times New Roman" w:hAnsi="Times New Roman"/>
          <w:color w:val="auto"/>
        </w:rPr>
      </w:pPr>
    </w:p>
    <w:p w:rsidR="00F72948" w:rsidRDefault="00053647">
      <w:pPr>
        <w:spacing w:after="0" w:line="240" w:lineRule="auto"/>
        <w:ind w:right="-143"/>
        <w:jc w:val="both"/>
        <w:rPr>
          <w:b/>
          <w:bCs/>
          <w:color w:val="002060"/>
        </w:rPr>
      </w:pPr>
      <w:r>
        <w:rPr>
          <w:b/>
          <w:bCs/>
          <w:color w:val="002060"/>
        </w:rPr>
        <w:t>The CEO and Deputy CEO are responsible for:</w:t>
      </w:r>
    </w:p>
    <w:p w:rsidR="00F72948" w:rsidRDefault="00053647">
      <w:pPr>
        <w:pStyle w:val="ListParagraph"/>
        <w:numPr>
          <w:ilvl w:val="0"/>
          <w:numId w:val="30"/>
        </w:numPr>
        <w:spacing w:after="0" w:line="240" w:lineRule="auto"/>
        <w:ind w:right="-143"/>
        <w:jc w:val="both"/>
        <w:rPr>
          <w:iCs/>
        </w:rPr>
      </w:pPr>
      <w:r>
        <w:rPr>
          <w:iCs/>
        </w:rPr>
        <w:t xml:space="preserve">Monitoring the allocation (using EEF guidance), </w:t>
      </w:r>
      <w:r>
        <w:rPr>
          <w:iCs/>
        </w:rPr>
        <w:t>implementation and impact of Pupil Premium spending for all schools;</w:t>
      </w:r>
    </w:p>
    <w:p w:rsidR="00F72948" w:rsidRDefault="00053647">
      <w:pPr>
        <w:pStyle w:val="ListParagraph"/>
        <w:numPr>
          <w:ilvl w:val="0"/>
          <w:numId w:val="30"/>
        </w:numPr>
        <w:spacing w:after="0" w:line="240" w:lineRule="auto"/>
        <w:ind w:right="-143"/>
        <w:jc w:val="both"/>
        <w:rPr>
          <w:iCs/>
        </w:rPr>
      </w:pPr>
      <w:r>
        <w:rPr>
          <w:iCs/>
        </w:rPr>
        <w:t>Commissioning Pupil Premium reviews as required;</w:t>
      </w:r>
    </w:p>
    <w:p w:rsidR="00F72948" w:rsidRDefault="00053647">
      <w:pPr>
        <w:pStyle w:val="ListParagraph"/>
        <w:numPr>
          <w:ilvl w:val="0"/>
          <w:numId w:val="30"/>
        </w:numPr>
        <w:spacing w:after="0" w:line="240" w:lineRule="auto"/>
        <w:ind w:right="-143"/>
        <w:jc w:val="both"/>
        <w:rPr>
          <w:iCs/>
        </w:rPr>
      </w:pPr>
      <w:r>
        <w:rPr>
          <w:iCs/>
        </w:rPr>
        <w:t>Producing termly reports (to Trustees) relating to outcomes for disadvantaged pupils for both individual schools and the Trust.</w:t>
      </w:r>
    </w:p>
    <w:p w:rsidR="00F72948" w:rsidRDefault="00F72948">
      <w:pPr>
        <w:spacing w:after="0" w:line="240" w:lineRule="auto"/>
        <w:ind w:right="-143"/>
        <w:jc w:val="both"/>
        <w:rPr>
          <w:rFonts w:ascii="Times New Roman" w:hAnsi="Times New Roman"/>
          <w:color w:val="auto"/>
        </w:rPr>
      </w:pPr>
    </w:p>
    <w:p w:rsidR="00F72948" w:rsidRDefault="00053647">
      <w:pPr>
        <w:spacing w:after="0" w:line="240" w:lineRule="auto"/>
        <w:ind w:right="-143"/>
        <w:jc w:val="both"/>
        <w:rPr>
          <w:b/>
          <w:bCs/>
          <w:color w:val="002060"/>
        </w:rPr>
      </w:pPr>
      <w:r>
        <w:rPr>
          <w:b/>
          <w:bCs/>
          <w:color w:val="002060"/>
        </w:rPr>
        <w:t>Local Gov</w:t>
      </w:r>
      <w:r>
        <w:rPr>
          <w:b/>
          <w:bCs/>
          <w:color w:val="002060"/>
        </w:rPr>
        <w:t>erning Bodies are responsible for:</w:t>
      </w:r>
    </w:p>
    <w:p w:rsidR="00F72948" w:rsidRDefault="00053647">
      <w:pPr>
        <w:pStyle w:val="ListParagraph"/>
        <w:numPr>
          <w:ilvl w:val="0"/>
          <w:numId w:val="31"/>
        </w:numPr>
        <w:spacing w:after="0" w:line="240" w:lineRule="auto"/>
        <w:ind w:right="-143"/>
        <w:jc w:val="both"/>
        <w:rPr>
          <w:iCs/>
        </w:rPr>
      </w:pPr>
      <w:r>
        <w:rPr>
          <w:iCs/>
        </w:rPr>
        <w:t>Agreeing and approving annual Pupil Premium statements;</w:t>
      </w:r>
    </w:p>
    <w:p w:rsidR="00F72948" w:rsidRDefault="00053647">
      <w:pPr>
        <w:pStyle w:val="ListParagraph"/>
        <w:numPr>
          <w:ilvl w:val="0"/>
          <w:numId w:val="31"/>
        </w:numPr>
        <w:spacing w:after="0" w:line="240" w:lineRule="auto"/>
        <w:ind w:right="-143"/>
        <w:jc w:val="both"/>
        <w:rPr>
          <w:iCs/>
        </w:rPr>
      </w:pPr>
      <w:r>
        <w:rPr>
          <w:iCs/>
        </w:rPr>
        <w:t>Ensuring the school meets its statutory responsibilities for Pupil Premium spending, including publication on the school website.</w:t>
      </w:r>
    </w:p>
    <w:p w:rsidR="00F72948" w:rsidRDefault="00053647">
      <w:pPr>
        <w:pStyle w:val="ListParagraph"/>
        <w:numPr>
          <w:ilvl w:val="0"/>
          <w:numId w:val="31"/>
        </w:numPr>
        <w:spacing w:after="0" w:line="240" w:lineRule="auto"/>
        <w:ind w:right="-143"/>
        <w:jc w:val="both"/>
        <w:rPr>
          <w:iCs/>
        </w:rPr>
      </w:pPr>
      <w:r>
        <w:rPr>
          <w:iCs/>
        </w:rPr>
        <w:t xml:space="preserve">Refer to the scheme of delegation </w:t>
      </w:r>
      <w:r>
        <w:rPr>
          <w:iCs/>
        </w:rPr>
        <w:t>for supported schools as approval of Pupil Premium spending must be given by the CEO.</w:t>
      </w:r>
    </w:p>
    <w:p w:rsidR="00F72948" w:rsidRDefault="00F72948">
      <w:pPr>
        <w:spacing w:after="0" w:line="240" w:lineRule="auto"/>
        <w:ind w:right="-143"/>
        <w:jc w:val="both"/>
        <w:rPr>
          <w:b/>
          <w:bCs/>
          <w:color w:val="002060"/>
        </w:rPr>
      </w:pPr>
    </w:p>
    <w:p w:rsidR="00F72948" w:rsidRDefault="00053647">
      <w:pPr>
        <w:spacing w:after="0" w:line="240" w:lineRule="auto"/>
        <w:ind w:right="-143"/>
        <w:jc w:val="both"/>
        <w:rPr>
          <w:b/>
          <w:bCs/>
          <w:color w:val="002060"/>
        </w:rPr>
      </w:pPr>
      <w:proofErr w:type="spellStart"/>
      <w:r>
        <w:rPr>
          <w:b/>
          <w:bCs/>
          <w:color w:val="002060"/>
        </w:rPr>
        <w:t>Headteachers</w:t>
      </w:r>
      <w:proofErr w:type="spellEnd"/>
      <w:r>
        <w:rPr>
          <w:b/>
          <w:bCs/>
          <w:color w:val="002060"/>
        </w:rPr>
        <w:t xml:space="preserve"> / Principals are responsible for:</w:t>
      </w:r>
    </w:p>
    <w:p w:rsidR="00F72948" w:rsidRDefault="00053647">
      <w:pPr>
        <w:pStyle w:val="ListParagraph"/>
        <w:numPr>
          <w:ilvl w:val="0"/>
          <w:numId w:val="32"/>
        </w:numPr>
        <w:spacing w:after="0" w:line="240" w:lineRule="auto"/>
        <w:ind w:left="360" w:right="-143"/>
        <w:jc w:val="both"/>
        <w:rPr>
          <w:iCs/>
        </w:rPr>
      </w:pPr>
      <w:r>
        <w:rPr>
          <w:iCs/>
        </w:rPr>
        <w:t>Writing annual Pupil Premium statements using agreed EEF guidance and templates;</w:t>
      </w:r>
    </w:p>
    <w:p w:rsidR="00F72948" w:rsidRDefault="00053647">
      <w:pPr>
        <w:pStyle w:val="ListParagraph"/>
        <w:numPr>
          <w:ilvl w:val="0"/>
          <w:numId w:val="32"/>
        </w:numPr>
        <w:spacing w:after="0" w:line="240" w:lineRule="auto"/>
        <w:ind w:left="360" w:right="-143"/>
        <w:jc w:val="both"/>
        <w:rPr>
          <w:iCs/>
        </w:rPr>
      </w:pPr>
      <w:r>
        <w:rPr>
          <w:iCs/>
        </w:rPr>
        <w:t>Reviewing Pupil Premium statements for th</w:t>
      </w:r>
      <w:r>
        <w:rPr>
          <w:iCs/>
        </w:rPr>
        <w:t>e previous academic year using agreed guidance and templates;</w:t>
      </w:r>
    </w:p>
    <w:p w:rsidR="00F72948" w:rsidRDefault="00053647">
      <w:pPr>
        <w:pStyle w:val="ListParagraph"/>
        <w:numPr>
          <w:ilvl w:val="0"/>
          <w:numId w:val="32"/>
        </w:numPr>
        <w:spacing w:after="0" w:line="240" w:lineRule="auto"/>
        <w:ind w:left="360" w:right="-143"/>
        <w:jc w:val="both"/>
        <w:rPr>
          <w:iCs/>
        </w:rPr>
      </w:pPr>
      <w:r>
        <w:rPr>
          <w:iCs/>
        </w:rPr>
        <w:t>Ensuring agreed strategies are effectively implemented and monitored so that they lead to improved outcomes for disadvantaged pupils;</w:t>
      </w:r>
    </w:p>
    <w:p w:rsidR="00F72948" w:rsidRDefault="00053647">
      <w:pPr>
        <w:pStyle w:val="ListParagraph"/>
        <w:numPr>
          <w:ilvl w:val="0"/>
          <w:numId w:val="32"/>
        </w:numPr>
        <w:spacing w:after="0" w:line="240" w:lineRule="auto"/>
        <w:ind w:left="360" w:right="-143"/>
        <w:jc w:val="both"/>
        <w:rPr>
          <w:iCs/>
        </w:rPr>
      </w:pPr>
      <w:r>
        <w:rPr>
          <w:iCs/>
        </w:rPr>
        <w:t>Publishing statutory information on the school’s website;</w:t>
      </w:r>
    </w:p>
    <w:p w:rsidR="00F72948" w:rsidRDefault="00053647">
      <w:pPr>
        <w:pStyle w:val="ListParagraph"/>
        <w:numPr>
          <w:ilvl w:val="0"/>
          <w:numId w:val="32"/>
        </w:numPr>
        <w:spacing w:after="0" w:line="240" w:lineRule="auto"/>
        <w:ind w:left="360" w:right="-143"/>
        <w:jc w:val="both"/>
        <w:rPr>
          <w:iCs/>
        </w:rPr>
      </w:pPr>
      <w:r>
        <w:rPr>
          <w:iCs/>
        </w:rPr>
        <w:lastRenderedPageBreak/>
        <w:t>Pr</w:t>
      </w:r>
      <w:r>
        <w:rPr>
          <w:iCs/>
        </w:rPr>
        <w:t>oducing termly reports relating to outcomes for disadvantaged pupils to LGB and the Trust.</w:t>
      </w:r>
    </w:p>
    <w:p w:rsidR="00F72948" w:rsidRDefault="00F72948">
      <w:pPr>
        <w:spacing w:after="0" w:line="240" w:lineRule="auto"/>
        <w:ind w:right="-143"/>
        <w:jc w:val="both"/>
        <w:rPr>
          <w:b/>
        </w:rPr>
      </w:pPr>
    </w:p>
    <w:p w:rsidR="00F72948" w:rsidRDefault="00053647">
      <w:pPr>
        <w:spacing w:after="0" w:line="240" w:lineRule="auto"/>
        <w:ind w:right="-143"/>
        <w:jc w:val="both"/>
        <w:rPr>
          <w:b/>
          <w:color w:val="002060"/>
        </w:rPr>
      </w:pPr>
      <w:r>
        <w:rPr>
          <w:b/>
          <w:color w:val="002060"/>
        </w:rPr>
        <w:t>Teachers and other school staff are responsible for:</w:t>
      </w:r>
    </w:p>
    <w:p w:rsidR="00F72948" w:rsidRDefault="00053647">
      <w:pPr>
        <w:pStyle w:val="ListParagraph"/>
        <w:numPr>
          <w:ilvl w:val="0"/>
          <w:numId w:val="33"/>
        </w:numPr>
        <w:spacing w:after="0" w:line="240" w:lineRule="auto"/>
        <w:ind w:right="-143"/>
        <w:jc w:val="both"/>
        <w:rPr>
          <w:iCs/>
        </w:rPr>
      </w:pPr>
      <w:r>
        <w:rPr>
          <w:iCs/>
        </w:rPr>
        <w:t xml:space="preserve">Ensuring they have an accurate understanding of the disadvantaged pupils in their class/group </w:t>
      </w:r>
      <w:proofErr w:type="spellStart"/>
      <w:r>
        <w:rPr>
          <w:iCs/>
        </w:rPr>
        <w:t>etc</w:t>
      </w:r>
      <w:proofErr w:type="spellEnd"/>
      <w:r>
        <w:rPr>
          <w:iCs/>
        </w:rPr>
        <w:t xml:space="preserve"> and their spe</w:t>
      </w:r>
      <w:r>
        <w:rPr>
          <w:iCs/>
        </w:rPr>
        <w:t>cific barriers to achieving highly;</w:t>
      </w:r>
    </w:p>
    <w:p w:rsidR="00F72948" w:rsidRDefault="00053647">
      <w:pPr>
        <w:pStyle w:val="ListParagraph"/>
        <w:numPr>
          <w:ilvl w:val="0"/>
          <w:numId w:val="33"/>
        </w:numPr>
        <w:spacing w:after="0" w:line="240" w:lineRule="auto"/>
        <w:ind w:right="-143"/>
        <w:jc w:val="both"/>
        <w:rPr>
          <w:iCs/>
        </w:rPr>
      </w:pPr>
      <w:r>
        <w:rPr>
          <w:iCs/>
        </w:rPr>
        <w:t xml:space="preserve">Implement the </w:t>
      </w:r>
      <w:proofErr w:type="gramStart"/>
      <w:r>
        <w:rPr>
          <w:iCs/>
        </w:rPr>
        <w:t>school’s</w:t>
      </w:r>
      <w:proofErr w:type="gramEnd"/>
      <w:r>
        <w:rPr>
          <w:iCs/>
        </w:rPr>
        <w:t xml:space="preserve"> agreed Pupil Premium strategy (as appropriate to their role).</w:t>
      </w:r>
    </w:p>
    <w:p w:rsidR="00F72948" w:rsidRDefault="00F72948">
      <w:pPr>
        <w:spacing w:after="0" w:line="240" w:lineRule="auto"/>
        <w:ind w:right="-143"/>
        <w:jc w:val="both"/>
        <w:rPr>
          <w:iCs/>
        </w:rPr>
      </w:pPr>
    </w:p>
    <w:p w:rsidR="00F72948" w:rsidRDefault="00053647">
      <w:pPr>
        <w:spacing w:after="0" w:line="240" w:lineRule="auto"/>
        <w:ind w:right="-143"/>
        <w:jc w:val="both"/>
        <w:rPr>
          <w:iCs/>
          <w:color w:val="002060"/>
        </w:rPr>
      </w:pPr>
      <w:r>
        <w:rPr>
          <w:iCs/>
          <w:color w:val="002060"/>
        </w:rPr>
        <w:t>Useful links:</w:t>
      </w:r>
    </w:p>
    <w:p w:rsidR="00F72948" w:rsidRDefault="00F72948">
      <w:pPr>
        <w:spacing w:after="0" w:line="240" w:lineRule="auto"/>
        <w:ind w:right="-143"/>
        <w:jc w:val="both"/>
        <w:rPr>
          <w:iCs/>
          <w:color w:val="002060"/>
        </w:rPr>
      </w:pPr>
    </w:p>
    <w:p w:rsidR="00F72948" w:rsidRDefault="00053647">
      <w:pPr>
        <w:spacing w:after="0" w:line="240" w:lineRule="auto"/>
        <w:ind w:right="-142"/>
        <w:rPr>
          <w:color w:val="auto"/>
        </w:rPr>
      </w:pPr>
      <w:proofErr w:type="spellStart"/>
      <w:r>
        <w:rPr>
          <w:color w:val="auto"/>
        </w:rPr>
        <w:t>DfE</w:t>
      </w:r>
      <w:proofErr w:type="spellEnd"/>
      <w:r>
        <w:rPr>
          <w:color w:val="auto"/>
        </w:rPr>
        <w:t xml:space="preserve"> Pupil Premium Policy  </w:t>
      </w:r>
    </w:p>
    <w:p w:rsidR="00F72948" w:rsidRDefault="00053647">
      <w:pPr>
        <w:spacing w:after="0" w:line="240" w:lineRule="auto"/>
        <w:ind w:right="-142"/>
      </w:pPr>
      <w:hyperlink r:id="rId9" w:history="1">
        <w:r>
          <w:rPr>
            <w:rStyle w:val="Hyperlink"/>
            <w:rFonts w:cs="Arial"/>
            <w:iCs/>
            <w:color w:val="auto"/>
          </w:rPr>
          <w:t>http</w:t>
        </w:r>
        <w:bookmarkStart w:id="4" w:name="_Hlt33730642"/>
        <w:bookmarkStart w:id="5" w:name="_Hlt33730643"/>
        <w:r>
          <w:rPr>
            <w:rStyle w:val="Hyperlink"/>
            <w:rFonts w:cs="Arial"/>
            <w:iCs/>
            <w:color w:val="auto"/>
          </w:rPr>
          <w:t>s</w:t>
        </w:r>
        <w:bookmarkEnd w:id="4"/>
        <w:bookmarkEnd w:id="5"/>
        <w:r>
          <w:rPr>
            <w:rStyle w:val="Hyperlink"/>
            <w:rFonts w:cs="Arial"/>
            <w:iCs/>
            <w:color w:val="auto"/>
          </w:rPr>
          <w:t>://www.gov.uk/government/</w:t>
        </w:r>
        <w:bookmarkStart w:id="6" w:name="_Hlt33805072"/>
        <w:bookmarkStart w:id="7" w:name="_Hlt33805531"/>
        <w:bookmarkStart w:id="8" w:name="_Hlt33805532"/>
        <w:r>
          <w:rPr>
            <w:rStyle w:val="Hyperlink"/>
            <w:rFonts w:cs="Arial"/>
            <w:iCs/>
            <w:color w:val="auto"/>
          </w:rPr>
          <w:t>p</w:t>
        </w:r>
        <w:bookmarkEnd w:id="6"/>
        <w:bookmarkEnd w:id="7"/>
        <w:bookmarkEnd w:id="8"/>
        <w:r>
          <w:rPr>
            <w:rStyle w:val="Hyperlink"/>
            <w:rFonts w:cs="Arial"/>
            <w:iCs/>
            <w:color w:val="auto"/>
          </w:rPr>
          <w:t>ublications/pupil-premium/pupil-premium</w:t>
        </w:r>
      </w:hyperlink>
    </w:p>
    <w:p w:rsidR="00F72948" w:rsidRDefault="00F72948">
      <w:pPr>
        <w:spacing w:after="0" w:line="240" w:lineRule="auto"/>
        <w:ind w:right="-142"/>
      </w:pPr>
    </w:p>
    <w:p w:rsidR="00F72948" w:rsidRDefault="00053647">
      <w:pPr>
        <w:spacing w:after="0" w:line="240" w:lineRule="auto"/>
        <w:ind w:right="-142"/>
      </w:pPr>
      <w:proofErr w:type="spellStart"/>
      <w:r>
        <w:rPr>
          <w:rStyle w:val="Hyperlink"/>
          <w:rFonts w:cs="Arial"/>
          <w:iCs/>
          <w:color w:val="auto"/>
          <w:u w:val="none"/>
        </w:rPr>
        <w:t>DfE</w:t>
      </w:r>
      <w:proofErr w:type="spellEnd"/>
      <w:r>
        <w:rPr>
          <w:rStyle w:val="Hyperlink"/>
          <w:rFonts w:cs="Arial"/>
          <w:iCs/>
          <w:color w:val="auto"/>
          <w:u w:val="none"/>
        </w:rPr>
        <w:t xml:space="preserve"> Guidance on writing Pupil Premium Strategy Statements</w:t>
      </w:r>
    </w:p>
    <w:p w:rsidR="00F72948" w:rsidRDefault="00053647">
      <w:pPr>
        <w:spacing w:after="0" w:line="240" w:lineRule="auto"/>
        <w:ind w:right="-142"/>
      </w:pPr>
      <w:hyperlink r:id="rId10" w:history="1">
        <w:r>
          <w:rPr>
            <w:rStyle w:val="Hyperlink"/>
            <w:rFonts w:cs="Arial"/>
            <w:iCs/>
          </w:rPr>
          <w:t>http</w:t>
        </w:r>
        <w:bookmarkStart w:id="9" w:name="_Hlt33807408"/>
        <w:bookmarkStart w:id="10" w:name="_Hlt33807409"/>
        <w:r>
          <w:rPr>
            <w:rStyle w:val="Hyperlink"/>
            <w:rFonts w:cs="Arial"/>
            <w:iCs/>
          </w:rPr>
          <w:t>s</w:t>
        </w:r>
        <w:bookmarkEnd w:id="9"/>
        <w:bookmarkEnd w:id="10"/>
        <w:r>
          <w:rPr>
            <w:rStyle w:val="Hyperlink"/>
            <w:rFonts w:cs="Arial"/>
            <w:iCs/>
          </w:rPr>
          <w:t>://www.gov.uk/guidance/pupil-premium-strategy-statements</w:t>
        </w:r>
      </w:hyperlink>
    </w:p>
    <w:p w:rsidR="00F72948" w:rsidRDefault="00F72948">
      <w:pPr>
        <w:spacing w:after="0" w:line="240" w:lineRule="auto"/>
        <w:ind w:right="-142"/>
      </w:pPr>
    </w:p>
    <w:p w:rsidR="00F72948" w:rsidRDefault="00053647">
      <w:pPr>
        <w:spacing w:after="0" w:line="240" w:lineRule="auto"/>
        <w:ind w:right="-142"/>
      </w:pPr>
      <w:proofErr w:type="spellStart"/>
      <w:r>
        <w:rPr>
          <w:rStyle w:val="Hyperlink"/>
          <w:rFonts w:cs="Arial"/>
          <w:iCs/>
          <w:color w:val="auto"/>
          <w:u w:val="none"/>
        </w:rPr>
        <w:t>DfE</w:t>
      </w:r>
      <w:proofErr w:type="spellEnd"/>
      <w:r>
        <w:rPr>
          <w:rStyle w:val="Hyperlink"/>
          <w:rFonts w:cs="Arial"/>
          <w:iCs/>
          <w:color w:val="auto"/>
          <w:u w:val="none"/>
        </w:rPr>
        <w:t xml:space="preserve"> Pupil Premium Strategy Statement Templates – blank and example</w:t>
      </w:r>
    </w:p>
    <w:p w:rsidR="00F72948" w:rsidRDefault="00053647">
      <w:pPr>
        <w:spacing w:after="0" w:line="240" w:lineRule="auto"/>
        <w:ind w:right="-142"/>
      </w:pPr>
      <w:hyperlink r:id="rId11" w:history="1">
        <w:r>
          <w:rPr>
            <w:rStyle w:val="Hyperlink"/>
            <w:rFonts w:cs="Arial"/>
            <w:iCs/>
          </w:rPr>
          <w:t>https://www.gov.uk/guidance/pupil-premium-strategy-s</w:t>
        </w:r>
        <w:r>
          <w:rPr>
            <w:rStyle w:val="Hyperlink"/>
            <w:rFonts w:cs="Arial"/>
            <w:iCs/>
          </w:rPr>
          <w:t>tatements</w:t>
        </w:r>
      </w:hyperlink>
    </w:p>
    <w:p w:rsidR="00F72948" w:rsidRDefault="00F72948">
      <w:pPr>
        <w:spacing w:after="0" w:line="240" w:lineRule="auto"/>
        <w:ind w:right="-142"/>
      </w:pPr>
    </w:p>
    <w:p w:rsidR="00F72948" w:rsidRDefault="00053647">
      <w:pPr>
        <w:spacing w:after="0" w:line="240" w:lineRule="auto"/>
        <w:ind w:right="-142"/>
      </w:pPr>
      <w:proofErr w:type="spellStart"/>
      <w:r>
        <w:rPr>
          <w:rStyle w:val="Hyperlink"/>
          <w:rFonts w:cs="Arial"/>
          <w:iCs/>
          <w:color w:val="auto"/>
          <w:u w:val="none"/>
        </w:rPr>
        <w:t>DfE</w:t>
      </w:r>
      <w:proofErr w:type="spellEnd"/>
      <w:r>
        <w:rPr>
          <w:rStyle w:val="Hyperlink"/>
          <w:rFonts w:cs="Arial"/>
          <w:iCs/>
          <w:color w:val="auto"/>
          <w:u w:val="none"/>
        </w:rPr>
        <w:t xml:space="preserve"> Pupil Premium Effective use and accountability </w:t>
      </w:r>
    </w:p>
    <w:p w:rsidR="00F72948" w:rsidRDefault="00053647">
      <w:pPr>
        <w:spacing w:after="0" w:line="240" w:lineRule="auto"/>
        <w:ind w:right="-142"/>
      </w:pPr>
      <w:hyperlink r:id="rId12" w:history="1">
        <w:r>
          <w:rPr>
            <w:rStyle w:val="Hyperlink"/>
            <w:rFonts w:cs="Arial"/>
            <w:iCs/>
            <w:color w:val="auto"/>
          </w:rPr>
          <w:t>www.gov.uk/</w:t>
        </w:r>
        <w:bookmarkStart w:id="11" w:name="_Hlt33805882"/>
        <w:bookmarkStart w:id="12" w:name="_Hlt33805883"/>
        <w:r>
          <w:rPr>
            <w:rStyle w:val="Hyperlink"/>
            <w:rFonts w:cs="Arial"/>
            <w:iCs/>
            <w:color w:val="auto"/>
          </w:rPr>
          <w:t>g</w:t>
        </w:r>
        <w:bookmarkEnd w:id="11"/>
        <w:bookmarkEnd w:id="12"/>
        <w:r>
          <w:rPr>
            <w:rStyle w:val="Hyperlink"/>
            <w:rFonts w:cs="Arial"/>
            <w:iCs/>
            <w:color w:val="auto"/>
          </w:rPr>
          <w:t>uidance/pupil-premium-effective-use-and-accountability</w:t>
        </w:r>
      </w:hyperlink>
    </w:p>
    <w:p w:rsidR="00F72948" w:rsidRDefault="00F72948">
      <w:pPr>
        <w:spacing w:after="0" w:line="240" w:lineRule="auto"/>
        <w:ind w:right="-142"/>
      </w:pPr>
    </w:p>
    <w:p w:rsidR="00F72948" w:rsidRDefault="00053647">
      <w:pPr>
        <w:spacing w:after="0" w:line="240" w:lineRule="auto"/>
        <w:ind w:right="-142"/>
      </w:pPr>
      <w:r>
        <w:t>EEF Pupil Premium Guide</w:t>
      </w:r>
    </w:p>
    <w:p w:rsidR="00F72948" w:rsidRDefault="00053647">
      <w:pPr>
        <w:spacing w:after="0" w:line="240" w:lineRule="auto"/>
        <w:ind w:right="-142"/>
      </w:pPr>
      <w:hyperlink r:id="rId13" w:history="1">
        <w:r>
          <w:rPr>
            <w:rStyle w:val="Hyperlink"/>
          </w:rPr>
          <w:t>www.edu</w:t>
        </w:r>
        <w:bookmarkStart w:id="13" w:name="_Hlt33806288"/>
        <w:bookmarkStart w:id="14" w:name="_Hlt33806289"/>
        <w:r>
          <w:rPr>
            <w:rStyle w:val="Hyperlink"/>
          </w:rPr>
          <w:t>c</w:t>
        </w:r>
        <w:bookmarkEnd w:id="13"/>
        <w:bookmarkEnd w:id="14"/>
        <w:r>
          <w:rPr>
            <w:rStyle w:val="Hyperlink"/>
          </w:rPr>
          <w:t>ationendowmentfoundation.org.uk/evidence-summaries/pupil-premium-guide</w:t>
        </w:r>
      </w:hyperlink>
    </w:p>
    <w:p w:rsidR="00F72948" w:rsidRDefault="00F72948">
      <w:pPr>
        <w:spacing w:after="0" w:line="240" w:lineRule="auto"/>
        <w:ind w:right="-142"/>
      </w:pPr>
    </w:p>
    <w:p w:rsidR="00F72948" w:rsidRDefault="00053647">
      <w:pPr>
        <w:spacing w:after="0" w:line="240" w:lineRule="auto"/>
        <w:ind w:right="-142"/>
      </w:pPr>
      <w:proofErr w:type="gramStart"/>
      <w:r>
        <w:t>EEF  Teaching</w:t>
      </w:r>
      <w:proofErr w:type="gramEnd"/>
      <w:r>
        <w:t xml:space="preserve"> and Learning Toolkit</w:t>
      </w:r>
    </w:p>
    <w:p w:rsidR="00F72948" w:rsidRDefault="00053647">
      <w:pPr>
        <w:spacing w:after="0" w:line="240" w:lineRule="auto"/>
        <w:ind w:right="-142"/>
      </w:pPr>
      <w:hyperlink r:id="rId14" w:history="1">
        <w:r>
          <w:rPr>
            <w:rStyle w:val="Hyperlink"/>
          </w:rPr>
          <w:t>http</w:t>
        </w:r>
        <w:bookmarkStart w:id="15" w:name="_Hlt33807179"/>
        <w:bookmarkStart w:id="16" w:name="_Hlt33807180"/>
        <w:r>
          <w:rPr>
            <w:rStyle w:val="Hyperlink"/>
          </w:rPr>
          <w:t>s</w:t>
        </w:r>
        <w:bookmarkEnd w:id="15"/>
        <w:bookmarkEnd w:id="16"/>
        <w:r>
          <w:rPr>
            <w:rStyle w:val="Hyperlink"/>
          </w:rPr>
          <w:t>://educationendowmentfoundation.org.uk/evidence-summaries/teaching-learning-toolkit/</w:t>
        </w:r>
      </w:hyperlink>
    </w:p>
    <w:p w:rsidR="00F72948" w:rsidRDefault="00F72948">
      <w:pPr>
        <w:spacing w:after="0" w:line="240" w:lineRule="auto"/>
        <w:ind w:right="-142"/>
      </w:pPr>
    </w:p>
    <w:p w:rsidR="00F72948" w:rsidRDefault="00053647">
      <w:pPr>
        <w:spacing w:after="0" w:line="240" w:lineRule="auto"/>
        <w:ind w:right="-142"/>
      </w:pPr>
      <w:r>
        <w:t>EEF Early Years Toolkit</w:t>
      </w:r>
    </w:p>
    <w:p w:rsidR="00F72948" w:rsidRDefault="00053647">
      <w:pPr>
        <w:spacing w:after="0" w:line="240" w:lineRule="auto"/>
        <w:ind w:right="-142"/>
      </w:pPr>
      <w:hyperlink r:id="rId15" w:history="1">
        <w:r>
          <w:rPr>
            <w:rStyle w:val="Hyperlink"/>
          </w:rPr>
          <w:t>https://educationendowmentfou</w:t>
        </w:r>
        <w:bookmarkStart w:id="17" w:name="_Hlt33807247"/>
        <w:bookmarkStart w:id="18" w:name="_Hlt33807248"/>
        <w:r>
          <w:rPr>
            <w:rStyle w:val="Hyperlink"/>
          </w:rPr>
          <w:t>n</w:t>
        </w:r>
        <w:bookmarkEnd w:id="17"/>
        <w:bookmarkEnd w:id="18"/>
        <w:r>
          <w:rPr>
            <w:rStyle w:val="Hyperlink"/>
          </w:rPr>
          <w:t>dation.org.uk/evidence-summaries/early-years-toolkit</w:t>
        </w:r>
      </w:hyperlink>
    </w:p>
    <w:p w:rsidR="00F72948" w:rsidRDefault="00F72948">
      <w:pPr>
        <w:spacing w:after="0" w:line="240" w:lineRule="auto"/>
        <w:ind w:right="-142"/>
      </w:pPr>
    </w:p>
    <w:p w:rsidR="00F72948" w:rsidRDefault="00053647">
      <w:pPr>
        <w:spacing w:after="0" w:line="240" w:lineRule="auto"/>
        <w:ind w:right="-142"/>
      </w:pPr>
      <w:proofErr w:type="spellStart"/>
      <w:r>
        <w:rPr>
          <w:rStyle w:val="Hyperlink"/>
          <w:rFonts w:cs="Arial"/>
          <w:iCs/>
          <w:color w:val="auto"/>
          <w:u w:val="none"/>
        </w:rPr>
        <w:t>DfE</w:t>
      </w:r>
      <w:proofErr w:type="spellEnd"/>
      <w:r>
        <w:rPr>
          <w:rStyle w:val="Hyperlink"/>
          <w:rFonts w:cs="Arial"/>
          <w:iCs/>
          <w:color w:val="auto"/>
          <w:u w:val="none"/>
        </w:rPr>
        <w:t xml:space="preserve"> Pupil Premium Conditions of Grant</w:t>
      </w:r>
    </w:p>
    <w:p w:rsidR="00F72948" w:rsidRDefault="00053647">
      <w:pPr>
        <w:spacing w:after="0" w:line="240" w:lineRule="auto"/>
        <w:ind w:right="-142"/>
      </w:pPr>
      <w:hyperlink r:id="rId16" w:history="1">
        <w:r>
          <w:rPr>
            <w:rStyle w:val="Hyperlink"/>
            <w:rFonts w:cs="Arial"/>
            <w:iCs/>
          </w:rPr>
          <w:t>https://www.gov.uk/government/publications/pupil-premium-allocations-and-conditions-of-grant-2019-to-2020/pupil-premium-</w:t>
        </w:r>
        <w:bookmarkStart w:id="19" w:name="_Hlt33806151"/>
        <w:r>
          <w:rPr>
            <w:rStyle w:val="Hyperlink"/>
            <w:rFonts w:cs="Arial"/>
            <w:iCs/>
          </w:rPr>
          <w:t>c</w:t>
        </w:r>
        <w:bookmarkEnd w:id="19"/>
        <w:r>
          <w:rPr>
            <w:rStyle w:val="Hyperlink"/>
            <w:rFonts w:cs="Arial"/>
            <w:iCs/>
          </w:rPr>
          <w:t>onditions-of-grant-2019-to-2020</w:t>
        </w:r>
      </w:hyperlink>
    </w:p>
    <w:p w:rsidR="00F72948" w:rsidRDefault="00F72948">
      <w:pPr>
        <w:spacing w:after="0" w:line="240" w:lineRule="auto"/>
        <w:ind w:right="-142"/>
      </w:pPr>
    </w:p>
    <w:p w:rsidR="00F72948" w:rsidRDefault="00053647">
      <w:pPr>
        <w:spacing w:after="0" w:line="240" w:lineRule="auto"/>
        <w:ind w:right="-142"/>
      </w:pPr>
      <w:r>
        <w:rPr>
          <w:rStyle w:val="Hyperlink"/>
          <w:rFonts w:cs="Arial"/>
          <w:iCs/>
          <w:color w:val="auto"/>
          <w:u w:val="none"/>
        </w:rPr>
        <w:t xml:space="preserve">Service Premium </w:t>
      </w:r>
    </w:p>
    <w:p w:rsidR="00F72948" w:rsidRDefault="00053647">
      <w:pPr>
        <w:spacing w:after="0" w:line="240" w:lineRule="auto"/>
        <w:ind w:right="-142"/>
      </w:pPr>
      <w:hyperlink r:id="rId17" w:history="1">
        <w:r>
          <w:rPr>
            <w:rStyle w:val="Hyperlink"/>
            <w:rFonts w:cs="Arial"/>
            <w:iCs/>
            <w:color w:val="00B0F0"/>
          </w:rPr>
          <w:t>w</w:t>
        </w:r>
        <w:bookmarkStart w:id="20" w:name="_Hlt34044817"/>
        <w:bookmarkStart w:id="21" w:name="_Hlt34044818"/>
        <w:r>
          <w:rPr>
            <w:rStyle w:val="Hyperlink"/>
            <w:rFonts w:cs="Arial"/>
            <w:iCs/>
            <w:color w:val="00B0F0"/>
          </w:rPr>
          <w:t>w</w:t>
        </w:r>
        <w:bookmarkEnd w:id="20"/>
        <w:bookmarkEnd w:id="21"/>
        <w:r>
          <w:rPr>
            <w:rStyle w:val="Hyperlink"/>
            <w:rFonts w:cs="Arial"/>
            <w:iCs/>
            <w:color w:val="00B0F0"/>
          </w:rPr>
          <w:t>w.go</w:t>
        </w:r>
        <w:bookmarkStart w:id="22" w:name="_Hlt33805522"/>
        <w:bookmarkStart w:id="23" w:name="_Hlt33805523"/>
        <w:r>
          <w:rPr>
            <w:rStyle w:val="Hyperlink"/>
            <w:rFonts w:cs="Arial"/>
            <w:iCs/>
            <w:color w:val="00B0F0"/>
          </w:rPr>
          <w:t>v</w:t>
        </w:r>
        <w:bookmarkEnd w:id="22"/>
        <w:bookmarkEnd w:id="23"/>
        <w:r>
          <w:rPr>
            <w:rStyle w:val="Hyperlink"/>
            <w:rFonts w:cs="Arial"/>
            <w:iCs/>
            <w:color w:val="00B0F0"/>
          </w:rPr>
          <w:t>.uk/government/publications/the-service-pupil-premium</w:t>
        </w:r>
      </w:hyperlink>
    </w:p>
    <w:p w:rsidR="00F72948" w:rsidRDefault="00F72948">
      <w:pPr>
        <w:spacing w:after="0" w:line="240" w:lineRule="auto"/>
        <w:ind w:right="-142"/>
      </w:pPr>
    </w:p>
    <w:p w:rsidR="00F72948" w:rsidRDefault="00F72948">
      <w:pPr>
        <w:spacing w:after="0" w:line="240" w:lineRule="auto"/>
        <w:ind w:right="-142"/>
        <w:jc w:val="both"/>
      </w:pPr>
    </w:p>
    <w:p w:rsidR="00F72948" w:rsidRDefault="00F72948">
      <w:pPr>
        <w:pStyle w:val="Heading2"/>
        <w:spacing w:before="0" w:after="0"/>
        <w:rPr>
          <w:b w:val="0"/>
          <w:color w:val="0D0D0D"/>
          <w:sz w:val="24"/>
          <w:szCs w:val="24"/>
        </w:rPr>
      </w:pPr>
    </w:p>
    <w:p w:rsidR="00F72948" w:rsidRDefault="00F72948"/>
    <w:p w:rsidR="00F72948" w:rsidRDefault="00F72948"/>
    <w:bookmarkEnd w:id="0"/>
    <w:bookmarkEnd w:id="1"/>
    <w:bookmarkEnd w:id="2"/>
    <w:p w:rsidR="00F72948" w:rsidRDefault="00F72948">
      <w:pPr>
        <w:pStyle w:val="Heading2"/>
        <w:spacing w:before="0" w:after="0"/>
        <w:rPr>
          <w:b w:val="0"/>
          <w:color w:val="0D0D0D"/>
          <w:sz w:val="24"/>
          <w:szCs w:val="24"/>
        </w:rPr>
      </w:pPr>
    </w:p>
    <w:p w:rsidR="00F72948" w:rsidRDefault="00F72948">
      <w:pPr>
        <w:pStyle w:val="Heading2"/>
        <w:spacing w:before="0" w:after="0"/>
        <w:rPr>
          <w:b w:val="0"/>
          <w:color w:val="0D0D0D"/>
          <w:sz w:val="24"/>
          <w:szCs w:val="24"/>
        </w:rPr>
      </w:pPr>
    </w:p>
    <w:p w:rsidR="00F72948" w:rsidRDefault="00F72948">
      <w:pPr>
        <w:pStyle w:val="Heading2"/>
        <w:spacing w:before="0" w:after="0"/>
        <w:rPr>
          <w:b w:val="0"/>
          <w:color w:val="0D0D0D"/>
          <w:sz w:val="24"/>
          <w:szCs w:val="24"/>
        </w:rPr>
      </w:pPr>
    </w:p>
    <w:p w:rsidR="00F72948" w:rsidRDefault="00F72948">
      <w:pPr>
        <w:pStyle w:val="Heading2"/>
        <w:spacing w:before="0" w:after="0"/>
        <w:rPr>
          <w:b w:val="0"/>
          <w:color w:val="0D0D0D"/>
          <w:sz w:val="24"/>
          <w:szCs w:val="24"/>
        </w:rPr>
      </w:pPr>
    </w:p>
    <w:p w:rsidR="00F72948" w:rsidRDefault="00F72948">
      <w:pPr>
        <w:pStyle w:val="Heading2"/>
        <w:spacing w:before="0" w:after="0"/>
      </w:pPr>
    </w:p>
    <w:p w:rsidR="00F72948" w:rsidRDefault="00F72948">
      <w:pPr>
        <w:spacing w:after="0" w:line="240" w:lineRule="auto"/>
      </w:pPr>
    </w:p>
    <w:p w:rsidR="00F72948" w:rsidRDefault="00053647">
      <w:pPr>
        <w:spacing w:after="0" w:line="240" w:lineRule="auto"/>
        <w:jc w:val="center"/>
      </w:pPr>
      <w:r>
        <w:rPr>
          <w:rFonts w:cs="Arial"/>
          <w:b/>
          <w:noProof/>
          <w:color w:val="002060"/>
        </w:rPr>
        <w:lastRenderedPageBreak/>
        <w:drawing>
          <wp:inline distT="0" distB="0" distL="0" distR="0">
            <wp:extent cx="411626" cy="222775"/>
            <wp:effectExtent l="0" t="0" r="7474" b="5825"/>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411626" cy="222775"/>
                    </a:xfrm>
                    <a:prstGeom prst="rect">
                      <a:avLst/>
                    </a:prstGeom>
                    <a:noFill/>
                    <a:ln>
                      <a:noFill/>
                      <a:prstDash/>
                    </a:ln>
                  </pic:spPr>
                </pic:pic>
              </a:graphicData>
            </a:graphic>
          </wp:inline>
        </w:drawing>
      </w:r>
      <w:r>
        <w:rPr>
          <w:rFonts w:cs="Arial"/>
          <w:b/>
          <w:color w:val="002060"/>
        </w:rPr>
        <w:t>Maybury Primary School</w:t>
      </w:r>
      <w:r>
        <w:rPr>
          <w:rFonts w:cs="Arial"/>
          <w:b/>
          <w:noProof/>
          <w:color w:val="002060"/>
        </w:rPr>
        <w:drawing>
          <wp:inline distT="0" distB="0" distL="0" distR="0">
            <wp:extent cx="240057" cy="262240"/>
            <wp:effectExtent l="0" t="0" r="7593" b="4460"/>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40057" cy="262240"/>
                    </a:xfrm>
                    <a:prstGeom prst="rect">
                      <a:avLst/>
                    </a:prstGeom>
                    <a:noFill/>
                    <a:ln>
                      <a:noFill/>
                      <a:prstDash/>
                    </a:ln>
                  </pic:spPr>
                </pic:pic>
              </a:graphicData>
            </a:graphic>
          </wp:inline>
        </w:drawing>
      </w:r>
    </w:p>
    <w:p w:rsidR="00F72948" w:rsidRDefault="00053647">
      <w:pPr>
        <w:spacing w:after="0" w:line="240" w:lineRule="auto"/>
        <w:jc w:val="center"/>
        <w:rPr>
          <w:rFonts w:cs="Arial"/>
          <w:b/>
          <w:color w:val="002060"/>
        </w:rPr>
      </w:pPr>
      <w:r>
        <w:rPr>
          <w:rFonts w:cs="Arial"/>
          <w:b/>
          <w:color w:val="002060"/>
        </w:rPr>
        <w:t>Pupil Premium Strategy Statement</w:t>
      </w:r>
    </w:p>
    <w:tbl>
      <w:tblPr>
        <w:tblW w:w="9776" w:type="dxa"/>
        <w:tblCellMar>
          <w:left w:w="10" w:type="dxa"/>
          <w:right w:w="10" w:type="dxa"/>
        </w:tblCellMar>
        <w:tblLook w:val="0000" w:firstRow="0" w:lastRow="0" w:firstColumn="0" w:lastColumn="0" w:noHBand="0" w:noVBand="0"/>
      </w:tblPr>
      <w:tblGrid>
        <w:gridCol w:w="4815"/>
        <w:gridCol w:w="4961"/>
      </w:tblGrid>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b/>
                <w:sz w:val="22"/>
                <w:szCs w:val="22"/>
              </w:rPr>
            </w:pPr>
            <w:r>
              <w:rPr>
                <w:rFonts w:ascii="Arial Narrow" w:hAnsi="Arial Narrow"/>
                <w:b/>
                <w:sz w:val="22"/>
                <w:szCs w:val="22"/>
              </w:rPr>
              <w:t>Metric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b/>
                <w:sz w:val="22"/>
                <w:szCs w:val="22"/>
              </w:rPr>
            </w:pPr>
            <w:r>
              <w:rPr>
                <w:rFonts w:ascii="Arial Narrow" w:hAnsi="Arial Narrow"/>
                <w:b/>
                <w:sz w:val="22"/>
                <w:szCs w:val="22"/>
              </w:rPr>
              <w:t>Data</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ind w:left="0"/>
              <w:rPr>
                <w:rFonts w:ascii="Arial Narrow" w:hAnsi="Arial Narrow"/>
                <w:sz w:val="22"/>
                <w:szCs w:val="22"/>
              </w:rPr>
            </w:pPr>
            <w:r>
              <w:rPr>
                <w:rFonts w:ascii="Arial Narrow" w:hAnsi="Arial Narrow"/>
                <w:sz w:val="22"/>
                <w:szCs w:val="22"/>
              </w:rPr>
              <w:t xml:space="preserve"> School name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Maybury Primary School</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Pupils in school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 xml:space="preserve">213 </w:t>
            </w:r>
            <w:r>
              <w:rPr>
                <w:rFonts w:ascii="Arial Narrow" w:hAnsi="Arial Narrow"/>
                <w:sz w:val="22"/>
                <w:szCs w:val="22"/>
              </w:rPr>
              <w:t>(F2-Y6)</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Proportion of disadvantaged pupils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45%</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Pupil premium allocation this academic year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£131,740</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Academic year or years covered by statement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2018-2021</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Publish date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01 September 2020</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Review date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01 September 2021</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Statement authorised by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 xml:space="preserve">Alison </w:t>
            </w:r>
            <w:r>
              <w:rPr>
                <w:rFonts w:ascii="Arial Narrow" w:hAnsi="Arial Narrow"/>
                <w:sz w:val="22"/>
                <w:szCs w:val="22"/>
              </w:rPr>
              <w:t>Grantham</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Pupil premium lead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Alison Grantham</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Governor lead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Richard Morrell</w:t>
            </w:r>
          </w:p>
        </w:tc>
      </w:tr>
    </w:tbl>
    <w:p w:rsidR="00F72948" w:rsidRDefault="00F72948">
      <w:pPr>
        <w:pStyle w:val="Heading2"/>
        <w:spacing w:before="0" w:after="0"/>
        <w:rPr>
          <w:rFonts w:ascii="Arial Narrow" w:hAnsi="Arial Narrow"/>
          <w:sz w:val="22"/>
          <w:szCs w:val="22"/>
        </w:rPr>
      </w:pPr>
    </w:p>
    <w:p w:rsidR="00F72948" w:rsidRDefault="00053647">
      <w:pPr>
        <w:pStyle w:val="Heading2"/>
        <w:spacing w:before="0" w:after="0"/>
        <w:rPr>
          <w:rFonts w:ascii="Arial Narrow" w:hAnsi="Arial Narrow"/>
          <w:sz w:val="22"/>
          <w:szCs w:val="22"/>
        </w:rPr>
      </w:pPr>
      <w:r>
        <w:rPr>
          <w:rFonts w:ascii="Arial Narrow" w:hAnsi="Arial Narrow"/>
          <w:sz w:val="22"/>
          <w:szCs w:val="22"/>
        </w:rPr>
        <w:t>Disadvantaged pupil KS2 progress scores for last academic year (Current validated data 2018-2019):</w:t>
      </w:r>
    </w:p>
    <w:tbl>
      <w:tblPr>
        <w:tblW w:w="9776" w:type="dxa"/>
        <w:tblCellMar>
          <w:left w:w="10" w:type="dxa"/>
          <w:right w:w="10" w:type="dxa"/>
        </w:tblCellMar>
        <w:tblLook w:val="0000" w:firstRow="0" w:lastRow="0" w:firstColumn="0" w:lastColumn="0" w:noHBand="0" w:noVBand="0"/>
      </w:tblPr>
      <w:tblGrid>
        <w:gridCol w:w="4815"/>
        <w:gridCol w:w="4961"/>
      </w:tblGrid>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pPr>
            <w:r>
              <w:rPr>
                <w:rFonts w:ascii="Arial Narrow" w:hAnsi="Arial Narrow"/>
                <w:b/>
                <w:sz w:val="22"/>
                <w:szCs w:val="22"/>
              </w:rPr>
              <w:t>Measure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pPr>
            <w:r>
              <w:rPr>
                <w:rFonts w:ascii="Arial Narrow" w:hAnsi="Arial Narrow"/>
                <w:b/>
                <w:sz w:val="22"/>
                <w:szCs w:val="22"/>
              </w:rPr>
              <w:t>Score (national benchmark in brackets)</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pPr>
            <w:r>
              <w:rPr>
                <w:rFonts w:ascii="Arial Narrow" w:hAnsi="Arial Narrow" w:cs="Calibri"/>
                <w:sz w:val="22"/>
                <w:szCs w:val="22"/>
              </w:rPr>
              <w:t>Reading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 xml:space="preserve">2.54 (0.32)  </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cs="Calibri"/>
                <w:sz w:val="22"/>
                <w:szCs w:val="22"/>
              </w:rPr>
            </w:pPr>
            <w:r>
              <w:rPr>
                <w:rFonts w:ascii="Arial Narrow" w:hAnsi="Arial Narrow" w:cs="Calibri"/>
                <w:sz w:val="22"/>
                <w:szCs w:val="22"/>
              </w:rPr>
              <w:t>Writing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2.73 (0.27)</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cs="Calibri"/>
                <w:sz w:val="22"/>
                <w:szCs w:val="22"/>
              </w:rPr>
            </w:pPr>
            <w:r>
              <w:rPr>
                <w:rFonts w:ascii="Arial Narrow" w:hAnsi="Arial Narrow" w:cs="Calibri"/>
                <w:sz w:val="22"/>
                <w:szCs w:val="22"/>
              </w:rPr>
              <w:t>Maths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-0.09 (0.37)</w:t>
            </w:r>
          </w:p>
        </w:tc>
      </w:tr>
    </w:tbl>
    <w:p w:rsidR="00F72948" w:rsidRDefault="00F72948">
      <w:pPr>
        <w:pStyle w:val="Heading2"/>
        <w:spacing w:before="0" w:after="0"/>
        <w:rPr>
          <w:rFonts w:ascii="Arial Narrow" w:hAnsi="Arial Narrow"/>
          <w:sz w:val="22"/>
          <w:szCs w:val="22"/>
        </w:rPr>
      </w:pPr>
    </w:p>
    <w:p w:rsidR="00F72948" w:rsidRDefault="00053647">
      <w:pPr>
        <w:pStyle w:val="Heading2"/>
        <w:spacing w:before="0" w:after="0"/>
        <w:rPr>
          <w:rFonts w:ascii="Arial Narrow" w:hAnsi="Arial Narrow"/>
          <w:sz w:val="22"/>
          <w:szCs w:val="22"/>
        </w:rPr>
      </w:pPr>
      <w:r>
        <w:rPr>
          <w:rFonts w:ascii="Arial Narrow" w:hAnsi="Arial Narrow"/>
          <w:sz w:val="22"/>
          <w:szCs w:val="22"/>
        </w:rPr>
        <w:t>Disadvantaged pupil KS2 performance overview for last academic year (Current validated data 2018-19):</w:t>
      </w:r>
    </w:p>
    <w:tbl>
      <w:tblPr>
        <w:tblW w:w="9776" w:type="dxa"/>
        <w:tblCellMar>
          <w:left w:w="10" w:type="dxa"/>
          <w:right w:w="10" w:type="dxa"/>
        </w:tblCellMar>
        <w:tblLook w:val="0000" w:firstRow="0" w:lastRow="0" w:firstColumn="0" w:lastColumn="0" w:noHBand="0" w:noVBand="0"/>
      </w:tblPr>
      <w:tblGrid>
        <w:gridCol w:w="4815"/>
        <w:gridCol w:w="4961"/>
      </w:tblGrid>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pPr>
            <w:r>
              <w:rPr>
                <w:rFonts w:ascii="Arial Narrow" w:hAnsi="Arial Narrow"/>
                <w:b/>
                <w:sz w:val="22"/>
                <w:szCs w:val="22"/>
              </w:rPr>
              <w:t>Measure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pPr>
            <w:r>
              <w:rPr>
                <w:rFonts w:ascii="Arial Narrow" w:hAnsi="Arial Narrow"/>
                <w:b/>
                <w:sz w:val="22"/>
                <w:szCs w:val="22"/>
              </w:rPr>
              <w:t>Score (national benchmark in brackets)</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cs="Calibri"/>
                <w:sz w:val="22"/>
                <w:szCs w:val="22"/>
              </w:rPr>
            </w:pPr>
            <w:r>
              <w:rPr>
                <w:rFonts w:ascii="Arial Narrow" w:hAnsi="Arial Narrow" w:cs="Calibri"/>
                <w:sz w:val="22"/>
                <w:szCs w:val="22"/>
              </w:rPr>
              <w:t>Meeting expected standard at KS2</w:t>
            </w:r>
          </w:p>
          <w:p w:rsidR="00F72948" w:rsidRDefault="00053647">
            <w:pPr>
              <w:pStyle w:val="TableRow"/>
              <w:numPr>
                <w:ilvl w:val="0"/>
                <w:numId w:val="34"/>
              </w:numPr>
              <w:rPr>
                <w:rFonts w:ascii="Arial Narrow" w:hAnsi="Arial Narrow" w:cs="Calibri"/>
                <w:sz w:val="22"/>
                <w:szCs w:val="22"/>
              </w:rPr>
            </w:pPr>
            <w:r>
              <w:rPr>
                <w:rFonts w:ascii="Arial Narrow" w:hAnsi="Arial Narrow" w:cs="Calibri"/>
                <w:sz w:val="22"/>
                <w:szCs w:val="22"/>
              </w:rPr>
              <w:t>RWM</w:t>
            </w:r>
          </w:p>
          <w:p w:rsidR="00F72948" w:rsidRDefault="00053647">
            <w:pPr>
              <w:pStyle w:val="TableRow"/>
              <w:numPr>
                <w:ilvl w:val="0"/>
                <w:numId w:val="34"/>
              </w:numPr>
              <w:rPr>
                <w:rFonts w:ascii="Arial Narrow" w:hAnsi="Arial Narrow" w:cs="Calibri"/>
                <w:sz w:val="22"/>
                <w:szCs w:val="22"/>
              </w:rPr>
            </w:pPr>
            <w:r>
              <w:rPr>
                <w:rFonts w:ascii="Arial Narrow" w:hAnsi="Arial Narrow" w:cs="Calibri"/>
                <w:sz w:val="22"/>
                <w:szCs w:val="22"/>
              </w:rPr>
              <w:t>Reading</w:t>
            </w:r>
          </w:p>
          <w:p w:rsidR="00F72948" w:rsidRDefault="00053647">
            <w:pPr>
              <w:pStyle w:val="TableRow"/>
              <w:numPr>
                <w:ilvl w:val="0"/>
                <w:numId w:val="34"/>
              </w:numPr>
              <w:rPr>
                <w:rFonts w:ascii="Arial Narrow" w:hAnsi="Arial Narrow" w:cs="Calibri"/>
                <w:sz w:val="22"/>
                <w:szCs w:val="22"/>
              </w:rPr>
            </w:pPr>
            <w:r>
              <w:rPr>
                <w:rFonts w:ascii="Arial Narrow" w:hAnsi="Arial Narrow" w:cs="Calibri"/>
                <w:sz w:val="22"/>
                <w:szCs w:val="22"/>
              </w:rPr>
              <w:t>Writing</w:t>
            </w:r>
          </w:p>
          <w:p w:rsidR="00F72948" w:rsidRDefault="00053647">
            <w:pPr>
              <w:pStyle w:val="TableRow"/>
              <w:numPr>
                <w:ilvl w:val="0"/>
                <w:numId w:val="34"/>
              </w:numPr>
              <w:rPr>
                <w:rFonts w:ascii="Arial Narrow" w:hAnsi="Arial Narrow" w:cs="Calibri"/>
                <w:sz w:val="22"/>
                <w:szCs w:val="22"/>
              </w:rPr>
            </w:pPr>
            <w:r>
              <w:rPr>
                <w:rFonts w:ascii="Arial Narrow" w:hAnsi="Arial Narrow" w:cs="Calibri"/>
                <w:sz w:val="22"/>
                <w:szCs w:val="22"/>
              </w:rPr>
              <w:t>Mathematics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F72948">
            <w:pPr>
              <w:pStyle w:val="TableRow"/>
              <w:rPr>
                <w:rFonts w:ascii="Arial Narrow" w:hAnsi="Arial Narrow"/>
                <w:sz w:val="22"/>
                <w:szCs w:val="22"/>
              </w:rPr>
            </w:pPr>
          </w:p>
          <w:p w:rsidR="00F72948" w:rsidRDefault="00053647">
            <w:pPr>
              <w:pStyle w:val="TableRow"/>
              <w:rPr>
                <w:rFonts w:ascii="Arial Narrow" w:hAnsi="Arial Narrow"/>
                <w:sz w:val="22"/>
                <w:szCs w:val="22"/>
              </w:rPr>
            </w:pPr>
            <w:r>
              <w:rPr>
                <w:rFonts w:ascii="Arial Narrow" w:hAnsi="Arial Narrow"/>
                <w:sz w:val="22"/>
                <w:szCs w:val="22"/>
              </w:rPr>
              <w:t xml:space="preserve">59% </w:t>
            </w:r>
            <w:r>
              <w:rPr>
                <w:rFonts w:ascii="Arial Narrow" w:hAnsi="Arial Narrow"/>
                <w:sz w:val="22"/>
                <w:szCs w:val="22"/>
              </w:rPr>
              <w:t>(71%)</w:t>
            </w:r>
          </w:p>
          <w:p w:rsidR="00F72948" w:rsidRDefault="00053647">
            <w:pPr>
              <w:pStyle w:val="TableRow"/>
              <w:rPr>
                <w:rFonts w:ascii="Arial Narrow" w:hAnsi="Arial Narrow"/>
                <w:sz w:val="22"/>
                <w:szCs w:val="22"/>
              </w:rPr>
            </w:pPr>
            <w:r>
              <w:rPr>
                <w:rFonts w:ascii="Arial Narrow" w:hAnsi="Arial Narrow"/>
                <w:sz w:val="22"/>
                <w:szCs w:val="22"/>
              </w:rPr>
              <w:t>76% (78%)</w:t>
            </w:r>
          </w:p>
          <w:p w:rsidR="00F72948" w:rsidRDefault="00053647">
            <w:pPr>
              <w:pStyle w:val="TableRow"/>
              <w:rPr>
                <w:rFonts w:ascii="Arial Narrow" w:hAnsi="Arial Narrow"/>
                <w:sz w:val="22"/>
                <w:szCs w:val="22"/>
              </w:rPr>
            </w:pPr>
            <w:r>
              <w:rPr>
                <w:rFonts w:ascii="Arial Narrow" w:hAnsi="Arial Narrow"/>
                <w:sz w:val="22"/>
                <w:szCs w:val="22"/>
              </w:rPr>
              <w:t>71% (83%)</w:t>
            </w:r>
          </w:p>
          <w:p w:rsidR="00F72948" w:rsidRDefault="00053647">
            <w:pPr>
              <w:pStyle w:val="TableRow"/>
              <w:rPr>
                <w:rFonts w:ascii="Arial Narrow" w:hAnsi="Arial Narrow"/>
                <w:sz w:val="22"/>
                <w:szCs w:val="22"/>
              </w:rPr>
            </w:pPr>
            <w:r>
              <w:rPr>
                <w:rFonts w:ascii="Arial Narrow" w:hAnsi="Arial Narrow"/>
                <w:sz w:val="22"/>
                <w:szCs w:val="22"/>
              </w:rPr>
              <w:t>65% (84%)</w:t>
            </w:r>
          </w:p>
        </w:tc>
      </w:tr>
      <w:tr w:rsidR="00F72948">
        <w:tblPrEx>
          <w:tblCellMar>
            <w:top w:w="0" w:type="dxa"/>
            <w:bottom w:w="0" w:type="dxa"/>
          </w:tblCellMar>
        </w:tblPrEx>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cs="Calibri"/>
                <w:sz w:val="22"/>
                <w:szCs w:val="22"/>
              </w:rPr>
            </w:pPr>
            <w:r>
              <w:rPr>
                <w:rFonts w:ascii="Arial Narrow" w:hAnsi="Arial Narrow" w:cs="Calibri"/>
                <w:sz w:val="22"/>
                <w:szCs w:val="22"/>
              </w:rPr>
              <w:t>Achieving high standard at KS2</w:t>
            </w:r>
          </w:p>
          <w:p w:rsidR="00F72948" w:rsidRDefault="00053647">
            <w:pPr>
              <w:pStyle w:val="TableRow"/>
              <w:numPr>
                <w:ilvl w:val="0"/>
                <w:numId w:val="35"/>
              </w:numPr>
              <w:rPr>
                <w:rFonts w:ascii="Arial Narrow" w:hAnsi="Arial Narrow" w:cs="Calibri"/>
                <w:sz w:val="22"/>
                <w:szCs w:val="22"/>
              </w:rPr>
            </w:pPr>
            <w:r>
              <w:rPr>
                <w:rFonts w:ascii="Arial Narrow" w:hAnsi="Arial Narrow" w:cs="Calibri"/>
                <w:sz w:val="22"/>
                <w:szCs w:val="22"/>
              </w:rPr>
              <w:t>RWM</w:t>
            </w:r>
          </w:p>
          <w:p w:rsidR="00F72948" w:rsidRDefault="00053647">
            <w:pPr>
              <w:pStyle w:val="TableRow"/>
              <w:numPr>
                <w:ilvl w:val="0"/>
                <w:numId w:val="35"/>
              </w:numPr>
              <w:rPr>
                <w:rFonts w:ascii="Arial Narrow" w:hAnsi="Arial Narrow" w:cs="Calibri"/>
                <w:sz w:val="22"/>
                <w:szCs w:val="22"/>
              </w:rPr>
            </w:pPr>
            <w:r>
              <w:rPr>
                <w:rFonts w:ascii="Arial Narrow" w:hAnsi="Arial Narrow" w:cs="Calibri"/>
                <w:sz w:val="22"/>
                <w:szCs w:val="22"/>
              </w:rPr>
              <w:t>Reading</w:t>
            </w:r>
          </w:p>
          <w:p w:rsidR="00F72948" w:rsidRDefault="00053647">
            <w:pPr>
              <w:pStyle w:val="TableRow"/>
              <w:numPr>
                <w:ilvl w:val="0"/>
                <w:numId w:val="35"/>
              </w:numPr>
              <w:rPr>
                <w:rFonts w:ascii="Arial Narrow" w:hAnsi="Arial Narrow" w:cs="Calibri"/>
                <w:sz w:val="22"/>
                <w:szCs w:val="22"/>
              </w:rPr>
            </w:pPr>
            <w:r>
              <w:rPr>
                <w:rFonts w:ascii="Arial Narrow" w:hAnsi="Arial Narrow" w:cs="Calibri"/>
                <w:sz w:val="22"/>
                <w:szCs w:val="22"/>
              </w:rPr>
              <w:t>Writing</w:t>
            </w:r>
          </w:p>
          <w:p w:rsidR="00F72948" w:rsidRDefault="00053647">
            <w:pPr>
              <w:pStyle w:val="TableRow"/>
              <w:numPr>
                <w:ilvl w:val="0"/>
                <w:numId w:val="35"/>
              </w:numPr>
              <w:rPr>
                <w:rFonts w:ascii="Arial Narrow" w:hAnsi="Arial Narrow" w:cs="Calibri"/>
                <w:sz w:val="22"/>
                <w:szCs w:val="22"/>
              </w:rPr>
            </w:pPr>
            <w:r>
              <w:rPr>
                <w:rFonts w:ascii="Arial Narrow" w:hAnsi="Arial Narrow" w:cs="Calibri"/>
                <w:sz w:val="22"/>
                <w:szCs w:val="22"/>
              </w:rPr>
              <w:t>Mathematics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F72948">
            <w:pPr>
              <w:pStyle w:val="TableRow"/>
              <w:rPr>
                <w:rFonts w:ascii="Arial Narrow" w:hAnsi="Arial Narrow"/>
                <w:sz w:val="22"/>
                <w:szCs w:val="22"/>
              </w:rPr>
            </w:pPr>
          </w:p>
          <w:p w:rsidR="00F72948" w:rsidRDefault="00053647">
            <w:pPr>
              <w:pStyle w:val="TableRow"/>
              <w:rPr>
                <w:rFonts w:ascii="Arial Narrow" w:hAnsi="Arial Narrow"/>
                <w:sz w:val="22"/>
                <w:szCs w:val="22"/>
              </w:rPr>
            </w:pPr>
            <w:r>
              <w:rPr>
                <w:rFonts w:ascii="Arial Narrow" w:hAnsi="Arial Narrow"/>
                <w:sz w:val="22"/>
                <w:szCs w:val="22"/>
              </w:rPr>
              <w:t xml:space="preserve">  6% (13%)</w:t>
            </w:r>
          </w:p>
          <w:p w:rsidR="00F72948" w:rsidRDefault="00053647">
            <w:pPr>
              <w:pStyle w:val="TableRow"/>
              <w:rPr>
                <w:rFonts w:ascii="Arial Narrow" w:hAnsi="Arial Narrow"/>
                <w:sz w:val="22"/>
                <w:szCs w:val="22"/>
              </w:rPr>
            </w:pPr>
            <w:r>
              <w:rPr>
                <w:rFonts w:ascii="Arial Narrow" w:hAnsi="Arial Narrow"/>
                <w:sz w:val="22"/>
                <w:szCs w:val="22"/>
              </w:rPr>
              <w:t>18% (32%)</w:t>
            </w:r>
          </w:p>
          <w:p w:rsidR="00F72948" w:rsidRDefault="00053647">
            <w:pPr>
              <w:pStyle w:val="TableRow"/>
              <w:rPr>
                <w:rFonts w:ascii="Arial Narrow" w:hAnsi="Arial Narrow"/>
                <w:sz w:val="22"/>
                <w:szCs w:val="22"/>
              </w:rPr>
            </w:pPr>
            <w:r>
              <w:rPr>
                <w:rFonts w:ascii="Arial Narrow" w:hAnsi="Arial Narrow"/>
                <w:sz w:val="22"/>
                <w:szCs w:val="22"/>
              </w:rPr>
              <w:t>18% (24%)</w:t>
            </w:r>
          </w:p>
          <w:p w:rsidR="00F72948" w:rsidRDefault="00053647">
            <w:pPr>
              <w:pStyle w:val="TableRow"/>
              <w:rPr>
                <w:rFonts w:ascii="Arial Narrow" w:hAnsi="Arial Narrow"/>
                <w:sz w:val="22"/>
                <w:szCs w:val="22"/>
              </w:rPr>
            </w:pPr>
            <w:r>
              <w:rPr>
                <w:rFonts w:ascii="Arial Narrow" w:hAnsi="Arial Narrow"/>
                <w:sz w:val="22"/>
                <w:szCs w:val="22"/>
              </w:rPr>
              <w:t xml:space="preserve">  6% (32%)</w:t>
            </w:r>
          </w:p>
        </w:tc>
      </w:tr>
    </w:tbl>
    <w:p w:rsidR="00F72948" w:rsidRDefault="00F72948">
      <w:pPr>
        <w:pStyle w:val="Heading2"/>
        <w:spacing w:before="0" w:after="0"/>
        <w:rPr>
          <w:rFonts w:ascii="Arial Narrow" w:hAnsi="Arial Narrow"/>
          <w:sz w:val="22"/>
          <w:szCs w:val="22"/>
        </w:rPr>
      </w:pPr>
    </w:p>
    <w:p w:rsidR="00F72948" w:rsidRDefault="00053647">
      <w:pPr>
        <w:pStyle w:val="Heading2"/>
        <w:spacing w:before="0" w:after="0"/>
        <w:rPr>
          <w:rFonts w:ascii="Arial Narrow" w:hAnsi="Arial Narrow"/>
          <w:sz w:val="22"/>
          <w:szCs w:val="22"/>
        </w:rPr>
      </w:pPr>
      <w:r>
        <w:rPr>
          <w:rFonts w:ascii="Arial Narrow" w:hAnsi="Arial Narrow"/>
          <w:sz w:val="22"/>
          <w:szCs w:val="22"/>
        </w:rPr>
        <w:t>Barriers to Learning</w:t>
      </w:r>
    </w:p>
    <w:tbl>
      <w:tblPr>
        <w:tblW w:w="9763" w:type="dxa"/>
        <w:tblCellMar>
          <w:left w:w="10" w:type="dxa"/>
          <w:right w:w="10" w:type="dxa"/>
        </w:tblCellMar>
        <w:tblLook w:val="0000" w:firstRow="0" w:lastRow="0" w:firstColumn="0" w:lastColumn="0" w:noHBand="0" w:noVBand="0"/>
      </w:tblPr>
      <w:tblGrid>
        <w:gridCol w:w="9763"/>
      </w:tblGrid>
      <w:tr w:rsidR="00F72948">
        <w:tblPrEx>
          <w:tblCellMar>
            <w:top w:w="0" w:type="dxa"/>
            <w:bottom w:w="0" w:type="dxa"/>
          </w:tblCellMar>
        </w:tblPrEx>
        <w:trPr>
          <w:trHeight w:val="304"/>
        </w:trPr>
        <w:tc>
          <w:tcPr>
            <w:tcW w:w="97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numPr>
                <w:ilvl w:val="0"/>
                <w:numId w:val="36"/>
              </w:numPr>
              <w:spacing w:before="0" w:after="0"/>
              <w:rPr>
                <w:rFonts w:ascii="Arial Narrow" w:hAnsi="Arial Narrow"/>
                <w:b/>
                <w:sz w:val="22"/>
                <w:szCs w:val="22"/>
              </w:rPr>
            </w:pPr>
            <w:r>
              <w:rPr>
                <w:rFonts w:ascii="Arial Narrow" w:hAnsi="Arial Narrow"/>
                <w:b/>
                <w:sz w:val="22"/>
                <w:szCs w:val="22"/>
              </w:rPr>
              <w:t>Impact of school closure due to COVID-19</w:t>
            </w:r>
          </w:p>
          <w:p w:rsidR="00F72948" w:rsidRDefault="00053647">
            <w:pPr>
              <w:pStyle w:val="TableRow"/>
              <w:numPr>
                <w:ilvl w:val="0"/>
                <w:numId w:val="36"/>
              </w:numPr>
              <w:spacing w:before="0" w:after="0"/>
              <w:rPr>
                <w:rFonts w:ascii="Arial Narrow" w:hAnsi="Arial Narrow"/>
                <w:b/>
                <w:sz w:val="22"/>
                <w:szCs w:val="22"/>
              </w:rPr>
            </w:pPr>
            <w:r>
              <w:rPr>
                <w:rFonts w:ascii="Arial Narrow" w:hAnsi="Arial Narrow"/>
                <w:b/>
                <w:sz w:val="22"/>
                <w:szCs w:val="22"/>
              </w:rPr>
              <w:t xml:space="preserve">Children typically enter nursery or F2 with low </w:t>
            </w:r>
            <w:r>
              <w:rPr>
                <w:rFonts w:ascii="Arial Narrow" w:hAnsi="Arial Narrow"/>
                <w:b/>
                <w:sz w:val="22"/>
                <w:szCs w:val="22"/>
              </w:rPr>
              <w:t>starting points and attainment gaps</w:t>
            </w:r>
          </w:p>
          <w:p w:rsidR="00F72948" w:rsidRDefault="00053647">
            <w:pPr>
              <w:pStyle w:val="TableRow"/>
              <w:numPr>
                <w:ilvl w:val="0"/>
                <w:numId w:val="36"/>
              </w:numPr>
              <w:spacing w:before="0" w:after="0"/>
              <w:rPr>
                <w:rFonts w:ascii="Arial Narrow" w:hAnsi="Arial Narrow"/>
                <w:b/>
                <w:sz w:val="22"/>
                <w:szCs w:val="22"/>
              </w:rPr>
            </w:pPr>
            <w:r>
              <w:rPr>
                <w:rFonts w:ascii="Arial Narrow" w:hAnsi="Arial Narrow"/>
                <w:b/>
                <w:sz w:val="22"/>
                <w:szCs w:val="22"/>
              </w:rPr>
              <w:t>Underdeveloped language skills impede disadvantaged children’s access to the curriculum and independent learning strategies: poor language acquisition; speech and language; speaking and listening skills; limited vocabula</w:t>
            </w:r>
            <w:r>
              <w:rPr>
                <w:rFonts w:ascii="Arial Narrow" w:hAnsi="Arial Narrow"/>
                <w:b/>
                <w:sz w:val="22"/>
                <w:szCs w:val="22"/>
              </w:rPr>
              <w:t>ry</w:t>
            </w:r>
          </w:p>
          <w:p w:rsidR="00F72948" w:rsidRDefault="00053647">
            <w:pPr>
              <w:pStyle w:val="TableRow"/>
              <w:numPr>
                <w:ilvl w:val="0"/>
                <w:numId w:val="36"/>
              </w:numPr>
              <w:spacing w:before="0" w:after="0"/>
              <w:rPr>
                <w:rFonts w:ascii="Arial Narrow" w:hAnsi="Arial Narrow"/>
                <w:b/>
                <w:sz w:val="22"/>
                <w:szCs w:val="22"/>
              </w:rPr>
            </w:pPr>
            <w:r>
              <w:rPr>
                <w:rFonts w:ascii="Arial Narrow" w:hAnsi="Arial Narrow"/>
                <w:b/>
                <w:sz w:val="22"/>
                <w:szCs w:val="22"/>
              </w:rPr>
              <w:t>Personal, social, health and emotional factors – including arriving at school not ready to learn</w:t>
            </w:r>
          </w:p>
          <w:p w:rsidR="00F72948" w:rsidRDefault="00053647">
            <w:pPr>
              <w:pStyle w:val="TableRow"/>
              <w:numPr>
                <w:ilvl w:val="0"/>
                <w:numId w:val="36"/>
              </w:numPr>
              <w:spacing w:before="0" w:after="0"/>
              <w:rPr>
                <w:rFonts w:ascii="Arial Narrow" w:hAnsi="Arial Narrow"/>
                <w:b/>
                <w:sz w:val="22"/>
                <w:szCs w:val="22"/>
              </w:rPr>
            </w:pPr>
            <w:r>
              <w:rPr>
                <w:rFonts w:ascii="Arial Narrow" w:hAnsi="Arial Narrow"/>
                <w:b/>
                <w:sz w:val="22"/>
                <w:szCs w:val="22"/>
              </w:rPr>
              <w:t>Equality of opportunity – limited opportunities outside school leading to a narrower range of enrichment experiences</w:t>
            </w:r>
          </w:p>
          <w:p w:rsidR="00F72948" w:rsidRDefault="00053647">
            <w:pPr>
              <w:pStyle w:val="TableRow"/>
              <w:numPr>
                <w:ilvl w:val="0"/>
                <w:numId w:val="36"/>
              </w:numPr>
              <w:spacing w:before="0" w:after="0"/>
              <w:rPr>
                <w:rFonts w:ascii="Arial Narrow" w:hAnsi="Arial Narrow"/>
                <w:b/>
                <w:sz w:val="22"/>
                <w:szCs w:val="22"/>
              </w:rPr>
            </w:pPr>
            <w:r>
              <w:rPr>
                <w:rFonts w:ascii="Arial Narrow" w:hAnsi="Arial Narrow"/>
                <w:b/>
                <w:sz w:val="22"/>
                <w:szCs w:val="22"/>
              </w:rPr>
              <w:t xml:space="preserve">Attendance and punctuality – value not </w:t>
            </w:r>
            <w:r>
              <w:rPr>
                <w:rFonts w:ascii="Arial Narrow" w:hAnsi="Arial Narrow"/>
                <w:b/>
                <w:sz w:val="22"/>
                <w:szCs w:val="22"/>
              </w:rPr>
              <w:t>put on attending school regularly or arriving on time in the morning- historically attendance of the group disadvantaged is below non-disadvantaged</w:t>
            </w:r>
          </w:p>
        </w:tc>
      </w:tr>
      <w:tr w:rsidR="00F72948">
        <w:tblPrEx>
          <w:tblCellMar>
            <w:top w:w="0" w:type="dxa"/>
            <w:bottom w:w="0" w:type="dxa"/>
          </w:tblCellMar>
        </w:tblPrEx>
        <w:trPr>
          <w:trHeight w:val="372"/>
        </w:trPr>
        <w:tc>
          <w:tcPr>
            <w:tcW w:w="97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F72948">
            <w:pPr>
              <w:pStyle w:val="TableRow"/>
              <w:rPr>
                <w:rFonts w:ascii="Arial Narrow" w:hAnsi="Arial Narrow"/>
                <w:sz w:val="22"/>
                <w:szCs w:val="22"/>
              </w:rPr>
            </w:pPr>
          </w:p>
        </w:tc>
      </w:tr>
      <w:tr w:rsidR="00F72948">
        <w:tblPrEx>
          <w:tblCellMar>
            <w:top w:w="0" w:type="dxa"/>
            <w:bottom w:w="0" w:type="dxa"/>
          </w:tblCellMar>
        </w:tblPrEx>
        <w:trPr>
          <w:trHeight w:val="372"/>
        </w:trPr>
        <w:tc>
          <w:tcPr>
            <w:tcW w:w="97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F72948">
            <w:pPr>
              <w:pStyle w:val="TableRow"/>
              <w:rPr>
                <w:rFonts w:ascii="Arial Narrow" w:hAnsi="Arial Narrow"/>
                <w:sz w:val="22"/>
                <w:szCs w:val="22"/>
              </w:rPr>
            </w:pPr>
          </w:p>
        </w:tc>
      </w:tr>
      <w:tr w:rsidR="00F72948">
        <w:tblPrEx>
          <w:tblCellMar>
            <w:top w:w="0" w:type="dxa"/>
            <w:bottom w:w="0" w:type="dxa"/>
          </w:tblCellMar>
        </w:tblPrEx>
        <w:trPr>
          <w:trHeight w:val="372"/>
        </w:trPr>
        <w:tc>
          <w:tcPr>
            <w:tcW w:w="97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F72948">
            <w:pPr>
              <w:pStyle w:val="TableRow"/>
              <w:rPr>
                <w:rFonts w:ascii="Arial Narrow" w:hAnsi="Arial Narrow"/>
                <w:sz w:val="22"/>
                <w:szCs w:val="22"/>
              </w:rPr>
            </w:pPr>
          </w:p>
        </w:tc>
      </w:tr>
      <w:tr w:rsidR="00F72948">
        <w:tblPrEx>
          <w:tblCellMar>
            <w:top w:w="0" w:type="dxa"/>
            <w:bottom w:w="0" w:type="dxa"/>
          </w:tblCellMar>
        </w:tblPrEx>
        <w:trPr>
          <w:trHeight w:val="372"/>
        </w:trPr>
        <w:tc>
          <w:tcPr>
            <w:tcW w:w="97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F72948">
            <w:pPr>
              <w:pStyle w:val="TableRow"/>
              <w:rPr>
                <w:rFonts w:ascii="Arial Narrow" w:hAnsi="Arial Narrow"/>
                <w:sz w:val="22"/>
                <w:szCs w:val="22"/>
              </w:rPr>
            </w:pPr>
          </w:p>
        </w:tc>
      </w:tr>
      <w:tr w:rsidR="00F72948">
        <w:tblPrEx>
          <w:tblCellMar>
            <w:top w:w="0" w:type="dxa"/>
            <w:bottom w:w="0" w:type="dxa"/>
          </w:tblCellMar>
        </w:tblPrEx>
        <w:trPr>
          <w:trHeight w:val="372"/>
        </w:trPr>
        <w:tc>
          <w:tcPr>
            <w:tcW w:w="97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F72948">
            <w:pPr>
              <w:pStyle w:val="TableRow"/>
              <w:rPr>
                <w:rFonts w:ascii="Arial Narrow" w:hAnsi="Arial Narrow"/>
                <w:sz w:val="22"/>
                <w:szCs w:val="22"/>
              </w:rPr>
            </w:pPr>
          </w:p>
        </w:tc>
      </w:tr>
    </w:tbl>
    <w:p w:rsidR="00F72948" w:rsidRDefault="00053647">
      <w:pPr>
        <w:pStyle w:val="Heading2"/>
        <w:spacing w:before="0" w:after="0"/>
        <w:rPr>
          <w:rFonts w:ascii="Arial Narrow" w:hAnsi="Arial Narrow"/>
          <w:sz w:val="22"/>
          <w:szCs w:val="22"/>
        </w:rPr>
      </w:pPr>
      <w:r>
        <w:rPr>
          <w:rFonts w:ascii="Arial Narrow" w:hAnsi="Arial Narrow"/>
          <w:sz w:val="22"/>
          <w:szCs w:val="22"/>
        </w:rPr>
        <w:lastRenderedPageBreak/>
        <w:t>Strategy aims for disadvantaged pupils</w:t>
      </w:r>
    </w:p>
    <w:tbl>
      <w:tblPr>
        <w:tblW w:w="9776" w:type="dxa"/>
        <w:tblCellMar>
          <w:left w:w="10" w:type="dxa"/>
          <w:right w:w="10" w:type="dxa"/>
        </w:tblCellMar>
        <w:tblLook w:val="0000" w:firstRow="0" w:lastRow="0" w:firstColumn="0" w:lastColumn="0" w:noHBand="0" w:noVBand="0"/>
      </w:tblPr>
      <w:tblGrid>
        <w:gridCol w:w="3256"/>
        <w:gridCol w:w="4961"/>
        <w:gridCol w:w="1559"/>
      </w:tblGrid>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b/>
                <w:sz w:val="22"/>
                <w:szCs w:val="22"/>
              </w:rPr>
            </w:pPr>
            <w:r>
              <w:rPr>
                <w:rFonts w:ascii="Arial Narrow" w:hAnsi="Arial Narrow"/>
                <w:b/>
                <w:sz w:val="22"/>
                <w:szCs w:val="22"/>
              </w:rPr>
              <w:t>Aim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b/>
                <w:sz w:val="22"/>
                <w:szCs w:val="22"/>
              </w:rPr>
            </w:pPr>
            <w:r>
              <w:rPr>
                <w:rFonts w:ascii="Arial Narrow" w:hAnsi="Arial Narrow"/>
                <w:b/>
                <w:sz w:val="22"/>
                <w:szCs w:val="22"/>
              </w:rPr>
              <w:t>Target- what do we want to achieve?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b/>
                <w:sz w:val="22"/>
                <w:szCs w:val="22"/>
              </w:rPr>
            </w:pPr>
            <w:r>
              <w:rPr>
                <w:rFonts w:ascii="Arial Narrow" w:hAnsi="Arial Narrow"/>
                <w:b/>
                <w:sz w:val="22"/>
                <w:szCs w:val="22"/>
              </w:rPr>
              <w:t xml:space="preserve">Target date </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Improve early receptive language and communication skills for pupils eligible for PP in EYFS and KS1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numPr>
                <w:ilvl w:val="0"/>
                <w:numId w:val="37"/>
              </w:numPr>
              <w:rPr>
                <w:rFonts w:ascii="Arial Narrow" w:hAnsi="Arial Narrow"/>
                <w:sz w:val="22"/>
                <w:szCs w:val="22"/>
              </w:rPr>
            </w:pPr>
            <w:r>
              <w:rPr>
                <w:rFonts w:ascii="Arial Narrow" w:hAnsi="Arial Narrow"/>
                <w:sz w:val="22"/>
                <w:szCs w:val="22"/>
              </w:rPr>
              <w:t>Outcomes for disadvantaged children in Communication and Language will continue to close the gap to non-disadvantaged children both in school and nationall</w:t>
            </w:r>
            <w:r>
              <w:rPr>
                <w:rFonts w:ascii="Arial Narrow" w:hAnsi="Arial Narrow"/>
                <w:sz w:val="22"/>
                <w:szCs w:val="22"/>
              </w:rPr>
              <w:t>y</w:t>
            </w:r>
          </w:p>
          <w:p w:rsidR="00F72948" w:rsidRDefault="00053647">
            <w:pPr>
              <w:pStyle w:val="TableRow"/>
              <w:numPr>
                <w:ilvl w:val="0"/>
                <w:numId w:val="37"/>
              </w:numPr>
              <w:rPr>
                <w:rFonts w:ascii="Arial Narrow" w:hAnsi="Arial Narrow"/>
                <w:sz w:val="22"/>
                <w:szCs w:val="22"/>
              </w:rPr>
            </w:pPr>
            <w:r>
              <w:rPr>
                <w:rFonts w:ascii="Arial Narrow" w:hAnsi="Arial Narrow"/>
                <w:sz w:val="22"/>
                <w:szCs w:val="22"/>
              </w:rPr>
              <w:t>Increase proportion of disadvantaged children working at greater depth in reading and writing by end of KS1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September 21</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cs="Calibri"/>
                <w:sz w:val="22"/>
                <w:szCs w:val="22"/>
              </w:rPr>
            </w:pPr>
            <w:r>
              <w:rPr>
                <w:rFonts w:ascii="Arial Narrow" w:hAnsi="Arial Narrow" w:cs="Calibri"/>
                <w:sz w:val="22"/>
                <w:szCs w:val="22"/>
              </w:rPr>
              <w:t>Phonics and Early Reading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numPr>
                <w:ilvl w:val="0"/>
                <w:numId w:val="38"/>
              </w:numPr>
              <w:rPr>
                <w:rFonts w:ascii="Arial Narrow" w:hAnsi="Arial Narrow"/>
                <w:sz w:val="22"/>
                <w:szCs w:val="22"/>
              </w:rPr>
            </w:pPr>
            <w:r>
              <w:rPr>
                <w:rFonts w:ascii="Arial Narrow" w:hAnsi="Arial Narrow"/>
                <w:sz w:val="22"/>
                <w:szCs w:val="22"/>
              </w:rPr>
              <w:t>Disadvantaged pupil outcomes in the Phonics Screening check is in line with those of other children nation</w:t>
            </w:r>
            <w:r>
              <w:rPr>
                <w:rFonts w:ascii="Arial Narrow" w:hAnsi="Arial Narrow"/>
                <w:sz w:val="22"/>
                <w:szCs w:val="22"/>
              </w:rPr>
              <w:t>ally</w:t>
            </w:r>
          </w:p>
          <w:p w:rsidR="00F72948" w:rsidRDefault="00053647">
            <w:pPr>
              <w:pStyle w:val="TableRow"/>
              <w:numPr>
                <w:ilvl w:val="0"/>
                <w:numId w:val="38"/>
              </w:numPr>
              <w:rPr>
                <w:rFonts w:ascii="Arial Narrow" w:hAnsi="Arial Narrow"/>
                <w:sz w:val="22"/>
                <w:szCs w:val="22"/>
              </w:rPr>
            </w:pPr>
            <w:r>
              <w:rPr>
                <w:rFonts w:ascii="Arial Narrow" w:hAnsi="Arial Narrow"/>
                <w:sz w:val="22"/>
                <w:szCs w:val="22"/>
              </w:rPr>
              <w:t>Proportion of disadvantaged pupils working at greater depth at the end of KS1continues to close the gap to national for non-disadvantaged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September 21</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cs="Calibri"/>
                <w:sz w:val="22"/>
                <w:szCs w:val="22"/>
              </w:rPr>
            </w:pPr>
            <w:r>
              <w:rPr>
                <w:rFonts w:ascii="Arial Narrow" w:hAnsi="Arial Narrow" w:cs="Calibri"/>
                <w:sz w:val="22"/>
                <w:szCs w:val="22"/>
              </w:rPr>
              <w:t>Attainment at the higher standard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numPr>
                <w:ilvl w:val="0"/>
                <w:numId w:val="38"/>
              </w:numPr>
              <w:rPr>
                <w:rFonts w:ascii="Arial Narrow" w:hAnsi="Arial Narrow"/>
                <w:sz w:val="22"/>
                <w:szCs w:val="22"/>
              </w:rPr>
            </w:pPr>
            <w:r>
              <w:rPr>
                <w:rFonts w:ascii="Arial Narrow" w:hAnsi="Arial Narrow"/>
                <w:sz w:val="22"/>
                <w:szCs w:val="22"/>
              </w:rPr>
              <w:t>By the end of Key Stage 2, the percentage of disadvantaged pupils</w:t>
            </w:r>
            <w:r>
              <w:rPr>
                <w:rFonts w:ascii="Arial Narrow" w:hAnsi="Arial Narrow"/>
                <w:sz w:val="22"/>
                <w:szCs w:val="22"/>
              </w:rPr>
              <w:t xml:space="preserve"> achieving the higher standard in writing closes the gap to national for others by at least 4%</w:t>
            </w:r>
          </w:p>
          <w:p w:rsidR="00F72948" w:rsidRDefault="00053647">
            <w:pPr>
              <w:pStyle w:val="TableRow"/>
              <w:numPr>
                <w:ilvl w:val="0"/>
                <w:numId w:val="38"/>
              </w:numPr>
              <w:rPr>
                <w:rFonts w:ascii="Arial Narrow" w:hAnsi="Arial Narrow"/>
                <w:sz w:val="22"/>
                <w:szCs w:val="22"/>
              </w:rPr>
            </w:pPr>
            <w:r>
              <w:rPr>
                <w:rFonts w:ascii="Arial Narrow" w:hAnsi="Arial Narrow"/>
                <w:sz w:val="22"/>
                <w:szCs w:val="22"/>
              </w:rPr>
              <w:t>By the end of Key Stage 2, the percentage of disadvantaged pupils achieving the higher standard in maths closes the gap to national for others by at least 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September 21</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Attainment and progress in mathematics- particularly at the higher standard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numPr>
                <w:ilvl w:val="0"/>
                <w:numId w:val="39"/>
              </w:numPr>
              <w:rPr>
                <w:rFonts w:ascii="Arial Narrow" w:hAnsi="Arial Narrow"/>
                <w:sz w:val="22"/>
                <w:szCs w:val="22"/>
              </w:rPr>
            </w:pPr>
            <w:r>
              <w:rPr>
                <w:rFonts w:ascii="Arial Narrow" w:hAnsi="Arial Narrow"/>
                <w:sz w:val="22"/>
                <w:szCs w:val="22"/>
              </w:rPr>
              <w:t>Progress in mathematics is closer to that in reading and writing by the end of KS2 for disadvantaged and all pupils</w:t>
            </w:r>
          </w:p>
          <w:p w:rsidR="00F72948" w:rsidRDefault="00053647">
            <w:pPr>
              <w:pStyle w:val="TableRow"/>
              <w:numPr>
                <w:ilvl w:val="0"/>
                <w:numId w:val="39"/>
              </w:numPr>
              <w:rPr>
                <w:rFonts w:ascii="Arial Narrow" w:hAnsi="Arial Narrow"/>
                <w:sz w:val="22"/>
                <w:szCs w:val="22"/>
              </w:rPr>
            </w:pPr>
            <w:r>
              <w:rPr>
                <w:rFonts w:ascii="Arial Narrow" w:hAnsi="Arial Narrow"/>
                <w:sz w:val="22"/>
                <w:szCs w:val="22"/>
              </w:rPr>
              <w:t>Progress in mathematics for  high prior attainment</w:t>
            </w:r>
            <w:r>
              <w:rPr>
                <w:rFonts w:ascii="Arial Narrow" w:hAnsi="Arial Narrow"/>
                <w:sz w:val="22"/>
                <w:szCs w:val="22"/>
              </w:rPr>
              <w:t xml:space="preserve"> disadvantaged children improves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September 21</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Emotional Wellbeing and readiness to learn Post COVID-19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numPr>
                <w:ilvl w:val="0"/>
                <w:numId w:val="40"/>
              </w:numPr>
              <w:rPr>
                <w:rFonts w:ascii="Arial Narrow" w:hAnsi="Arial Narrow"/>
                <w:sz w:val="22"/>
                <w:szCs w:val="22"/>
              </w:rPr>
            </w:pPr>
            <w:r>
              <w:rPr>
                <w:rFonts w:ascii="Arial Narrow" w:hAnsi="Arial Narrow"/>
                <w:sz w:val="22"/>
                <w:szCs w:val="22"/>
              </w:rPr>
              <w:t>Children present at school ready to learn</w:t>
            </w:r>
          </w:p>
          <w:p w:rsidR="00F72948" w:rsidRDefault="00053647">
            <w:pPr>
              <w:pStyle w:val="TableRow"/>
              <w:numPr>
                <w:ilvl w:val="0"/>
                <w:numId w:val="40"/>
              </w:numPr>
              <w:rPr>
                <w:rFonts w:ascii="Arial Narrow" w:hAnsi="Arial Narrow"/>
                <w:sz w:val="22"/>
                <w:szCs w:val="22"/>
              </w:rPr>
            </w:pPr>
            <w:proofErr w:type="spellStart"/>
            <w:r>
              <w:rPr>
                <w:rFonts w:ascii="Arial Narrow" w:hAnsi="Arial Narrow"/>
                <w:sz w:val="22"/>
                <w:szCs w:val="22"/>
              </w:rPr>
              <w:t>HeadStart</w:t>
            </w:r>
            <w:proofErr w:type="spellEnd"/>
            <w:r>
              <w:rPr>
                <w:rFonts w:ascii="Arial Narrow" w:hAnsi="Arial Narrow"/>
                <w:sz w:val="22"/>
                <w:szCs w:val="22"/>
              </w:rPr>
              <w:t>/Jigsaw training and implementation have positive impact on children’s well-being and attitudes to l</w:t>
            </w:r>
            <w:r>
              <w:rPr>
                <w:rFonts w:ascii="Arial Narrow" w:hAnsi="Arial Narrow"/>
                <w:sz w:val="22"/>
                <w:szCs w:val="22"/>
              </w:rPr>
              <w:t>earning</w:t>
            </w:r>
          </w:p>
          <w:p w:rsidR="00F72948" w:rsidRDefault="00053647">
            <w:pPr>
              <w:pStyle w:val="TableRow"/>
              <w:numPr>
                <w:ilvl w:val="0"/>
                <w:numId w:val="38"/>
              </w:numPr>
              <w:rPr>
                <w:rFonts w:ascii="Arial Narrow" w:hAnsi="Arial Narrow"/>
                <w:sz w:val="22"/>
                <w:szCs w:val="22"/>
              </w:rPr>
            </w:pPr>
            <w:r>
              <w:rPr>
                <w:rFonts w:ascii="Arial Narrow" w:hAnsi="Arial Narrow"/>
                <w:sz w:val="22"/>
                <w:szCs w:val="22"/>
              </w:rPr>
              <w:t>Development of children’s sensory skills to focus concentration and develop child’s sensory processing skills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September 21</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pPr>
            <w:r>
              <w:rPr>
                <w:rFonts w:ascii="Arial Narrow" w:hAnsi="Arial Narrow" w:cs="Calibri"/>
                <w:sz w:val="22"/>
                <w:szCs w:val="22"/>
              </w:rPr>
              <w:t>Equality of opportunity for experiences within and beyond local environment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numPr>
                <w:ilvl w:val="0"/>
                <w:numId w:val="41"/>
              </w:numPr>
              <w:rPr>
                <w:rFonts w:ascii="Arial Narrow" w:hAnsi="Arial Narrow"/>
                <w:sz w:val="22"/>
                <w:szCs w:val="22"/>
              </w:rPr>
            </w:pPr>
            <w:r>
              <w:rPr>
                <w:rFonts w:ascii="Arial Narrow" w:hAnsi="Arial Narrow"/>
                <w:sz w:val="22"/>
                <w:szCs w:val="22"/>
              </w:rPr>
              <w:t xml:space="preserve">Children gain first-hand experience linking to </w:t>
            </w:r>
            <w:r>
              <w:rPr>
                <w:rFonts w:ascii="Arial Narrow" w:hAnsi="Arial Narrow"/>
                <w:sz w:val="22"/>
                <w:szCs w:val="22"/>
              </w:rPr>
              <w:t>curriculum learning</w:t>
            </w:r>
          </w:p>
          <w:p w:rsidR="00F72948" w:rsidRDefault="00053647">
            <w:pPr>
              <w:pStyle w:val="TableRow"/>
              <w:numPr>
                <w:ilvl w:val="0"/>
                <w:numId w:val="41"/>
              </w:numPr>
              <w:rPr>
                <w:rFonts w:ascii="Arial Narrow" w:hAnsi="Arial Narrow"/>
                <w:sz w:val="22"/>
                <w:szCs w:val="22"/>
              </w:rPr>
            </w:pPr>
            <w:r>
              <w:rPr>
                <w:rFonts w:ascii="Arial Narrow" w:hAnsi="Arial Narrow"/>
                <w:sz w:val="22"/>
                <w:szCs w:val="22"/>
              </w:rPr>
              <w:t>Children have opportunities to perform in quality ensembles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September 21</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Improve attendance and punctuality, including those deemed to be persistent absentees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numPr>
                <w:ilvl w:val="0"/>
                <w:numId w:val="38"/>
              </w:numPr>
              <w:rPr>
                <w:rFonts w:ascii="Arial Narrow" w:hAnsi="Arial Narrow"/>
                <w:sz w:val="22"/>
                <w:szCs w:val="22"/>
              </w:rPr>
            </w:pPr>
            <w:r>
              <w:rPr>
                <w:rFonts w:ascii="Arial Narrow" w:hAnsi="Arial Narrow"/>
                <w:sz w:val="22"/>
                <w:szCs w:val="22"/>
              </w:rPr>
              <w:t>Pupil Premium attendance continues to improve in line with ‘other’ pupils ov</w:t>
            </w:r>
            <w:r>
              <w:rPr>
                <w:rFonts w:ascii="Arial Narrow" w:hAnsi="Arial Narrow"/>
                <w:sz w:val="22"/>
                <w:szCs w:val="22"/>
              </w:rPr>
              <w:t>er time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rPr>
                <w:rFonts w:ascii="Arial Narrow" w:hAnsi="Arial Narrow"/>
                <w:sz w:val="22"/>
                <w:szCs w:val="22"/>
              </w:rPr>
            </w:pPr>
            <w:r>
              <w:rPr>
                <w:rFonts w:ascii="Arial Narrow" w:hAnsi="Arial Narrow"/>
                <w:sz w:val="22"/>
                <w:szCs w:val="22"/>
              </w:rPr>
              <w:t>September 21</w:t>
            </w:r>
          </w:p>
        </w:tc>
      </w:tr>
    </w:tbl>
    <w:p w:rsidR="00F72948" w:rsidRDefault="00F72948">
      <w:pPr>
        <w:spacing w:after="0" w:line="240" w:lineRule="auto"/>
        <w:rPr>
          <w:rFonts w:ascii="Arial Narrow" w:hAnsi="Arial Narrow" w:cs="Arial"/>
          <w:color w:val="002060"/>
          <w:sz w:val="22"/>
          <w:szCs w:val="22"/>
        </w:rPr>
      </w:pPr>
    </w:p>
    <w:p w:rsidR="00F72948" w:rsidRDefault="00053647">
      <w:pPr>
        <w:spacing w:after="0" w:line="240" w:lineRule="auto"/>
        <w:rPr>
          <w:rFonts w:ascii="Arial Narrow" w:hAnsi="Arial Narrow" w:cs="Arial"/>
          <w:color w:val="002060"/>
          <w:sz w:val="22"/>
          <w:szCs w:val="22"/>
        </w:rPr>
      </w:pPr>
      <w:r>
        <w:rPr>
          <w:rFonts w:ascii="Arial Narrow" w:hAnsi="Arial Narrow" w:cs="Arial"/>
          <w:color w:val="002060"/>
          <w:sz w:val="22"/>
          <w:szCs w:val="22"/>
        </w:rPr>
        <w:t>Covid-19</w:t>
      </w:r>
    </w:p>
    <w:p w:rsidR="00F72948" w:rsidRDefault="00053647">
      <w:pPr>
        <w:spacing w:after="0" w:line="240" w:lineRule="auto"/>
      </w:pPr>
      <w:r>
        <w:rPr>
          <w:rFonts w:ascii="Arial Narrow" w:hAnsi="Arial Narrow" w:cs="Arial"/>
          <w:i/>
          <w:color w:val="auto"/>
          <w:sz w:val="22"/>
          <w:szCs w:val="22"/>
        </w:rPr>
        <w:t xml:space="preserve">It is extremely important that we consider the educational and emotional impact of Covid-19 on our pupils. </w:t>
      </w:r>
      <w:r>
        <w:rPr>
          <w:rFonts w:ascii="Arial Narrow" w:hAnsi="Arial Narrow" w:cs="Arial"/>
          <w:i/>
          <w:color w:val="auto"/>
          <w:sz w:val="22"/>
          <w:szCs w:val="22"/>
          <w:lang w:val="en"/>
        </w:rPr>
        <w:t>The Covid-19 pandemic has led to school closures across the UK and many countries around the world. This means that t</w:t>
      </w:r>
      <w:r>
        <w:rPr>
          <w:rFonts w:ascii="Arial Narrow" w:hAnsi="Arial Narrow" w:cs="Arial"/>
          <w:i/>
          <w:color w:val="auto"/>
          <w:sz w:val="22"/>
          <w:szCs w:val="22"/>
          <w:lang w:val="en"/>
        </w:rPr>
        <w:t>he majority of pupils have missed more than a full term in school, though supported and taught in various ways. Nevertheless, it is likely that school closures will lead to slower rates of learning, perhaps learning loss, and there is a risk that the negat</w:t>
      </w:r>
      <w:r>
        <w:rPr>
          <w:rFonts w:ascii="Arial Narrow" w:hAnsi="Arial Narrow" w:cs="Arial"/>
          <w:i/>
          <w:color w:val="auto"/>
          <w:sz w:val="22"/>
          <w:szCs w:val="22"/>
          <w:lang w:val="en"/>
        </w:rPr>
        <w:t>ive impact will be worse for pupils who are economically disadvantaged.  Where available, effective strategies evaluated by the EEF have been identified within this plan</w:t>
      </w:r>
    </w:p>
    <w:p w:rsidR="00F72948" w:rsidRDefault="00F72948">
      <w:pPr>
        <w:pStyle w:val="ListParagraph"/>
        <w:numPr>
          <w:ilvl w:val="0"/>
          <w:numId w:val="0"/>
        </w:numPr>
        <w:spacing w:after="0" w:line="240" w:lineRule="auto"/>
        <w:ind w:left="720" w:hanging="360"/>
        <w:rPr>
          <w:rFonts w:ascii="Arial Narrow" w:hAnsi="Arial Narrow"/>
          <w:sz w:val="22"/>
          <w:szCs w:val="22"/>
        </w:rPr>
      </w:pPr>
    </w:p>
    <w:p w:rsidR="00F72948" w:rsidRDefault="00F72948">
      <w:pPr>
        <w:pageBreakBefore/>
        <w:suppressAutoHyphens w:val="0"/>
        <w:spacing w:after="0" w:line="240" w:lineRule="auto"/>
        <w:rPr>
          <w:rFonts w:ascii="Arial Narrow" w:hAnsi="Arial Narrow"/>
          <w:sz w:val="22"/>
          <w:szCs w:val="22"/>
        </w:rPr>
      </w:pPr>
    </w:p>
    <w:p w:rsidR="00F72948" w:rsidRDefault="00053647">
      <w:pPr>
        <w:pStyle w:val="Heading2"/>
        <w:spacing w:before="0" w:after="0"/>
      </w:pPr>
      <w:r>
        <w:rPr>
          <w:rFonts w:ascii="Arial Narrow" w:hAnsi="Arial Narrow"/>
          <w:color w:val="FF0000"/>
          <w:sz w:val="22"/>
          <w:szCs w:val="22"/>
        </w:rPr>
        <w:t xml:space="preserve">Quality First Teaching </w:t>
      </w:r>
      <w:r>
        <w:rPr>
          <w:rFonts w:ascii="Arial Narrow" w:hAnsi="Arial Narrow"/>
          <w:sz w:val="22"/>
          <w:szCs w:val="22"/>
        </w:rPr>
        <w:t>priorities for current academic year</w:t>
      </w:r>
      <w:r>
        <w:rPr>
          <w:rFonts w:ascii="Arial Narrow" w:hAnsi="Arial Narrow"/>
          <w:color w:val="auto"/>
          <w:sz w:val="22"/>
          <w:szCs w:val="22"/>
        </w:rPr>
        <w:t xml:space="preserve"> </w:t>
      </w:r>
    </w:p>
    <w:tbl>
      <w:tblPr>
        <w:tblW w:w="9776" w:type="dxa"/>
        <w:tblCellMar>
          <w:left w:w="10" w:type="dxa"/>
          <w:right w:w="10" w:type="dxa"/>
        </w:tblCellMar>
        <w:tblLook w:val="0000" w:firstRow="0" w:lastRow="0" w:firstColumn="0" w:lastColumn="0" w:noHBand="0" w:noVBand="0"/>
      </w:tblPr>
      <w:tblGrid>
        <w:gridCol w:w="3114"/>
        <w:gridCol w:w="6662"/>
      </w:tblGrid>
      <w:tr w:rsidR="00F72948">
        <w:tblPrEx>
          <w:tblCellMar>
            <w:top w:w="0" w:type="dxa"/>
            <w:bottom w:w="0" w:type="dxa"/>
          </w:tblCellMar>
        </w:tblPrEx>
        <w:trPr>
          <w:trHeight w:val="3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pPr>
            <w:r>
              <w:rPr>
                <w:rFonts w:ascii="Arial Narrow" w:hAnsi="Arial Narrow"/>
                <w:b/>
                <w:sz w:val="22"/>
                <w:szCs w:val="22"/>
              </w:rPr>
              <w:t>Measure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b/>
                <w:sz w:val="22"/>
                <w:szCs w:val="22"/>
              </w:rPr>
            </w:pPr>
            <w:r>
              <w:rPr>
                <w:rFonts w:ascii="Arial Narrow" w:hAnsi="Arial Narrow"/>
                <w:b/>
                <w:sz w:val="22"/>
                <w:szCs w:val="22"/>
              </w:rPr>
              <w:t>Activity</w:t>
            </w:r>
          </w:p>
        </w:tc>
      </w:tr>
      <w:tr w:rsidR="00F72948">
        <w:tblPrEx>
          <w:tblCellMar>
            <w:top w:w="0" w:type="dxa"/>
            <w:bottom w:w="0" w:type="dxa"/>
          </w:tblCellMar>
        </w:tblPrEx>
        <w:trPr>
          <w:trHeight w:val="3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cs="Calibri"/>
                <w:sz w:val="22"/>
                <w:szCs w:val="22"/>
              </w:rPr>
            </w:pPr>
            <w:r>
              <w:rPr>
                <w:rFonts w:ascii="Arial Narrow" w:hAnsi="Arial Narrow" w:cs="Calibri"/>
                <w:sz w:val="22"/>
                <w:szCs w:val="22"/>
              </w:rPr>
              <w:t>EYFS</w:t>
            </w:r>
          </w:p>
          <w:p w:rsidR="00F72948" w:rsidRDefault="00053647">
            <w:pPr>
              <w:pStyle w:val="TableRow"/>
              <w:spacing w:before="0" w:after="0"/>
              <w:rPr>
                <w:rFonts w:ascii="Arial Narrow" w:hAnsi="Arial Narrow" w:cs="Calibri"/>
                <w:sz w:val="22"/>
                <w:szCs w:val="22"/>
              </w:rPr>
            </w:pPr>
            <w:r>
              <w:rPr>
                <w:rFonts w:ascii="Arial Narrow" w:hAnsi="Arial Narrow" w:cs="Calibri"/>
                <w:sz w:val="22"/>
                <w:szCs w:val="22"/>
              </w:rPr>
              <w:t>Early Reading and Phonics</w:t>
            </w:r>
          </w:p>
          <w:p w:rsidR="00F72948" w:rsidRDefault="00053647">
            <w:pPr>
              <w:pStyle w:val="TableRow"/>
              <w:spacing w:before="0" w:after="0"/>
              <w:rPr>
                <w:rFonts w:ascii="Arial Narrow" w:hAnsi="Arial Narrow" w:cs="Calibri"/>
                <w:sz w:val="22"/>
                <w:szCs w:val="22"/>
              </w:rPr>
            </w:pPr>
            <w:r>
              <w:rPr>
                <w:rFonts w:ascii="Arial Narrow" w:hAnsi="Arial Narrow" w:cs="Calibri"/>
                <w:sz w:val="22"/>
                <w:szCs w:val="22"/>
              </w:rPr>
              <w:t>Mathematics</w:t>
            </w:r>
          </w:p>
          <w:p w:rsidR="00F72948" w:rsidRDefault="00053647">
            <w:pPr>
              <w:pStyle w:val="TableRow"/>
              <w:spacing w:before="0" w:after="0"/>
              <w:rPr>
                <w:rFonts w:ascii="Arial Narrow" w:hAnsi="Arial Narrow" w:cs="Calibri"/>
                <w:sz w:val="22"/>
                <w:szCs w:val="22"/>
              </w:rPr>
            </w:pPr>
            <w:r>
              <w:rPr>
                <w:rFonts w:ascii="Arial Narrow" w:hAnsi="Arial Narrow" w:cs="Calibri"/>
                <w:sz w:val="22"/>
                <w:szCs w:val="22"/>
              </w:rPr>
              <w:t>Attainment at the Higher Standard</w:t>
            </w:r>
          </w:p>
          <w:p w:rsidR="00F72948" w:rsidRDefault="00F72948">
            <w:pPr>
              <w:pStyle w:val="TableRow"/>
              <w:spacing w:before="0" w:after="0"/>
              <w:rPr>
                <w:rFonts w:ascii="Arial Narrow" w:hAnsi="Arial Narrow" w:cs="Calibri"/>
                <w:sz w:val="22"/>
                <w:szCs w:val="22"/>
              </w:rPr>
            </w:pPr>
          </w:p>
          <w:p w:rsidR="00F72948" w:rsidRDefault="00F72948">
            <w:pPr>
              <w:pStyle w:val="TableRow"/>
              <w:spacing w:before="0" w:after="0"/>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ind w:left="0"/>
              <w:rPr>
                <w:rFonts w:ascii="Arial Narrow" w:hAnsi="Arial Narrow"/>
                <w:sz w:val="22"/>
                <w:szCs w:val="22"/>
              </w:rPr>
            </w:pPr>
            <w:r>
              <w:rPr>
                <w:rFonts w:ascii="Arial Narrow" w:hAnsi="Arial Narrow"/>
                <w:sz w:val="22"/>
                <w:szCs w:val="22"/>
              </w:rPr>
              <w:t>Well planned training and CPD for all staff to ensure Quality First Teaching particularly in Mathematics; Early Reading and Phonics; Writing; Year 1 provision and for the Most Able:</w:t>
            </w:r>
          </w:p>
          <w:p w:rsidR="00F72948" w:rsidRDefault="00053647">
            <w:pPr>
              <w:pStyle w:val="TableRow"/>
              <w:numPr>
                <w:ilvl w:val="0"/>
                <w:numId w:val="42"/>
              </w:numPr>
              <w:spacing w:before="0" w:after="0"/>
              <w:rPr>
                <w:rFonts w:ascii="Arial Narrow" w:hAnsi="Arial Narrow"/>
                <w:sz w:val="22"/>
                <w:szCs w:val="22"/>
              </w:rPr>
            </w:pPr>
            <w:r>
              <w:rPr>
                <w:rFonts w:ascii="Arial Narrow" w:hAnsi="Arial Narrow"/>
                <w:sz w:val="22"/>
                <w:szCs w:val="22"/>
              </w:rPr>
              <w:t>In-house: ongoing staff meeting programme, coaching and challenge</w:t>
            </w:r>
          </w:p>
          <w:p w:rsidR="00F72948" w:rsidRDefault="00053647">
            <w:pPr>
              <w:pStyle w:val="TableRow"/>
              <w:numPr>
                <w:ilvl w:val="0"/>
                <w:numId w:val="42"/>
              </w:numPr>
              <w:spacing w:before="0" w:after="0"/>
              <w:rPr>
                <w:rFonts w:ascii="Arial Narrow" w:hAnsi="Arial Narrow"/>
                <w:sz w:val="22"/>
                <w:szCs w:val="22"/>
              </w:rPr>
            </w:pPr>
            <w:r>
              <w:rPr>
                <w:rFonts w:ascii="Arial Narrow" w:hAnsi="Arial Narrow"/>
                <w:sz w:val="22"/>
                <w:szCs w:val="22"/>
              </w:rPr>
              <w:t>HET Training: including TRGs</w:t>
            </w:r>
          </w:p>
          <w:p w:rsidR="00F72948" w:rsidRDefault="00053647">
            <w:pPr>
              <w:pStyle w:val="TableRow"/>
              <w:numPr>
                <w:ilvl w:val="0"/>
                <w:numId w:val="42"/>
              </w:numPr>
              <w:spacing w:before="0" w:after="0"/>
              <w:rPr>
                <w:rFonts w:ascii="Arial Narrow" w:hAnsi="Arial Narrow"/>
                <w:sz w:val="22"/>
                <w:szCs w:val="22"/>
              </w:rPr>
            </w:pPr>
            <w:r>
              <w:rPr>
                <w:rFonts w:ascii="Arial Narrow" w:hAnsi="Arial Narrow"/>
                <w:sz w:val="22"/>
                <w:szCs w:val="22"/>
              </w:rPr>
              <w:t>National Training: including virtual training purchased by the school</w:t>
            </w:r>
          </w:p>
          <w:p w:rsidR="00F72948" w:rsidRDefault="00F72948">
            <w:pPr>
              <w:pStyle w:val="TableRow"/>
              <w:spacing w:before="0" w:after="0"/>
              <w:ind w:left="0"/>
              <w:rPr>
                <w:rFonts w:ascii="Arial Narrow" w:hAnsi="Arial Narrow"/>
                <w:sz w:val="22"/>
                <w:szCs w:val="22"/>
              </w:rPr>
            </w:pPr>
          </w:p>
          <w:p w:rsidR="00F72948" w:rsidRDefault="00053647">
            <w:pPr>
              <w:pStyle w:val="TableRow"/>
              <w:spacing w:before="0" w:after="0"/>
              <w:ind w:left="0"/>
              <w:rPr>
                <w:rFonts w:ascii="Arial Narrow" w:hAnsi="Arial Narrow"/>
                <w:sz w:val="22"/>
                <w:szCs w:val="22"/>
              </w:rPr>
            </w:pPr>
            <w:r>
              <w:rPr>
                <w:rFonts w:ascii="Arial Narrow" w:hAnsi="Arial Narrow"/>
                <w:sz w:val="22"/>
                <w:szCs w:val="22"/>
              </w:rPr>
              <w:t>High quality phonics teaching and learning:</w:t>
            </w:r>
          </w:p>
          <w:p w:rsidR="00F72948" w:rsidRDefault="00053647">
            <w:pPr>
              <w:pStyle w:val="TableRow"/>
              <w:numPr>
                <w:ilvl w:val="0"/>
                <w:numId w:val="43"/>
              </w:numPr>
              <w:spacing w:before="0" w:after="0"/>
              <w:rPr>
                <w:rFonts w:ascii="Arial Narrow" w:hAnsi="Arial Narrow"/>
                <w:sz w:val="22"/>
                <w:szCs w:val="22"/>
              </w:rPr>
            </w:pPr>
            <w:r>
              <w:rPr>
                <w:rFonts w:ascii="Arial Narrow" w:hAnsi="Arial Narrow"/>
                <w:sz w:val="22"/>
                <w:szCs w:val="22"/>
              </w:rPr>
              <w:t>Recovery phonics curriculum developed and impl</w:t>
            </w:r>
            <w:r>
              <w:rPr>
                <w:rFonts w:ascii="Arial Narrow" w:hAnsi="Arial Narrow"/>
                <w:sz w:val="22"/>
                <w:szCs w:val="22"/>
              </w:rPr>
              <w:t xml:space="preserve">emented  </w:t>
            </w:r>
          </w:p>
          <w:p w:rsidR="00F72948" w:rsidRDefault="00053647">
            <w:pPr>
              <w:pStyle w:val="TableRow"/>
              <w:numPr>
                <w:ilvl w:val="0"/>
                <w:numId w:val="43"/>
              </w:numPr>
              <w:spacing w:before="0" w:after="0"/>
              <w:rPr>
                <w:rFonts w:ascii="Arial Narrow" w:hAnsi="Arial Narrow"/>
                <w:sz w:val="22"/>
                <w:szCs w:val="22"/>
              </w:rPr>
            </w:pPr>
            <w:r>
              <w:rPr>
                <w:rFonts w:ascii="Arial Narrow" w:hAnsi="Arial Narrow"/>
                <w:sz w:val="22"/>
                <w:szCs w:val="22"/>
              </w:rPr>
              <w:t>Timetable amended to ‘catch up’, embed and accelerate learning</w:t>
            </w:r>
          </w:p>
          <w:p w:rsidR="00F72948" w:rsidRDefault="00053647">
            <w:pPr>
              <w:pStyle w:val="TableRow"/>
              <w:numPr>
                <w:ilvl w:val="0"/>
                <w:numId w:val="43"/>
              </w:numPr>
              <w:spacing w:before="0" w:after="0"/>
              <w:rPr>
                <w:rFonts w:ascii="Arial Narrow" w:hAnsi="Arial Narrow"/>
                <w:sz w:val="22"/>
                <w:szCs w:val="22"/>
              </w:rPr>
            </w:pPr>
            <w:r>
              <w:rPr>
                <w:rFonts w:ascii="Arial Narrow" w:hAnsi="Arial Narrow"/>
                <w:sz w:val="22"/>
                <w:szCs w:val="22"/>
              </w:rPr>
              <w:t>Increased staffing level for phonics delivery in Foundation and Key Stage 1 to enable children to be taught in small, bespoke groupings dependant on their need</w:t>
            </w:r>
          </w:p>
          <w:p w:rsidR="00F72948" w:rsidRDefault="00053647">
            <w:pPr>
              <w:pStyle w:val="TableRow"/>
              <w:numPr>
                <w:ilvl w:val="0"/>
                <w:numId w:val="43"/>
              </w:numPr>
              <w:spacing w:before="0" w:after="0"/>
              <w:rPr>
                <w:rFonts w:ascii="Arial Narrow" w:hAnsi="Arial Narrow"/>
                <w:sz w:val="22"/>
                <w:szCs w:val="22"/>
              </w:rPr>
            </w:pPr>
            <w:r>
              <w:rPr>
                <w:rFonts w:ascii="Arial Narrow" w:hAnsi="Arial Narrow"/>
                <w:sz w:val="22"/>
                <w:szCs w:val="22"/>
              </w:rPr>
              <w:t xml:space="preserve">Regular assessments in </w:t>
            </w:r>
            <w:r>
              <w:rPr>
                <w:rFonts w:ascii="Arial Narrow" w:hAnsi="Arial Narrow"/>
                <w:sz w:val="22"/>
                <w:szCs w:val="22"/>
              </w:rPr>
              <w:t>place to identify next steps, inform teaching groups and track progress</w:t>
            </w:r>
          </w:p>
          <w:p w:rsidR="00F72948" w:rsidRDefault="00053647">
            <w:pPr>
              <w:pStyle w:val="TableRow"/>
              <w:numPr>
                <w:ilvl w:val="0"/>
                <w:numId w:val="43"/>
              </w:numPr>
              <w:spacing w:before="0" w:after="0"/>
              <w:rPr>
                <w:rFonts w:ascii="Arial Narrow" w:hAnsi="Arial Narrow"/>
                <w:sz w:val="22"/>
                <w:szCs w:val="22"/>
              </w:rPr>
            </w:pPr>
            <w:r>
              <w:rPr>
                <w:rFonts w:ascii="Arial Narrow" w:hAnsi="Arial Narrow"/>
                <w:sz w:val="22"/>
                <w:szCs w:val="22"/>
              </w:rPr>
              <w:t>SLT/in house experts strategically placed in EYFS/KS1 bubbles so that good practice continues to be modelled, shared and disseminated</w:t>
            </w:r>
          </w:p>
          <w:p w:rsidR="00F72948" w:rsidRDefault="00F72948">
            <w:pPr>
              <w:pStyle w:val="TableRow"/>
              <w:spacing w:before="0" w:after="0"/>
              <w:rPr>
                <w:rFonts w:ascii="Arial Narrow" w:hAnsi="Arial Narrow"/>
                <w:sz w:val="22"/>
                <w:szCs w:val="22"/>
              </w:rPr>
            </w:pPr>
          </w:p>
          <w:p w:rsidR="00F72948" w:rsidRDefault="00053647">
            <w:pPr>
              <w:pStyle w:val="TableRow"/>
              <w:spacing w:before="0" w:after="0"/>
              <w:ind w:left="0"/>
              <w:rPr>
                <w:rFonts w:ascii="Arial Narrow" w:hAnsi="Arial Narrow"/>
                <w:sz w:val="22"/>
                <w:szCs w:val="22"/>
              </w:rPr>
            </w:pPr>
            <w:r>
              <w:rPr>
                <w:rFonts w:ascii="Arial Narrow" w:hAnsi="Arial Narrow"/>
                <w:sz w:val="22"/>
                <w:szCs w:val="22"/>
              </w:rPr>
              <w:t>High quality mathematics teaching and learning:</w:t>
            </w:r>
          </w:p>
          <w:p w:rsidR="00F72948" w:rsidRDefault="00053647">
            <w:pPr>
              <w:pStyle w:val="TableRow"/>
              <w:numPr>
                <w:ilvl w:val="0"/>
                <w:numId w:val="44"/>
              </w:numPr>
              <w:spacing w:before="0" w:after="0"/>
              <w:rPr>
                <w:rFonts w:ascii="Arial Narrow" w:hAnsi="Arial Narrow"/>
                <w:sz w:val="22"/>
                <w:szCs w:val="22"/>
              </w:rPr>
            </w:pPr>
            <w:r>
              <w:rPr>
                <w:rFonts w:ascii="Arial Narrow" w:hAnsi="Arial Narrow"/>
                <w:sz w:val="22"/>
                <w:szCs w:val="22"/>
              </w:rPr>
              <w:t>R</w:t>
            </w:r>
            <w:r>
              <w:rPr>
                <w:rFonts w:ascii="Arial Narrow" w:hAnsi="Arial Narrow"/>
                <w:sz w:val="22"/>
                <w:szCs w:val="22"/>
              </w:rPr>
              <w:t>ecovery mathematics programme developed and implemented</w:t>
            </w:r>
          </w:p>
          <w:p w:rsidR="00F72948" w:rsidRDefault="00053647">
            <w:pPr>
              <w:pStyle w:val="TableRow"/>
              <w:numPr>
                <w:ilvl w:val="0"/>
                <w:numId w:val="44"/>
              </w:numPr>
              <w:spacing w:before="0" w:after="0"/>
              <w:rPr>
                <w:rFonts w:ascii="Arial Narrow" w:hAnsi="Arial Narrow"/>
                <w:sz w:val="22"/>
                <w:szCs w:val="22"/>
              </w:rPr>
            </w:pPr>
            <w:r>
              <w:rPr>
                <w:rFonts w:ascii="Arial Narrow" w:hAnsi="Arial Narrow"/>
                <w:sz w:val="22"/>
                <w:szCs w:val="22"/>
              </w:rPr>
              <w:t>Additional mathematics sessions identified in the timetable to embed learning and enable ‘catch up’ due to missed learning</w:t>
            </w:r>
          </w:p>
          <w:p w:rsidR="00F72948" w:rsidRDefault="00053647">
            <w:pPr>
              <w:pStyle w:val="TableRow"/>
              <w:numPr>
                <w:ilvl w:val="0"/>
                <w:numId w:val="44"/>
              </w:numPr>
              <w:spacing w:before="0" w:after="0"/>
              <w:rPr>
                <w:rFonts w:ascii="Arial Narrow" w:hAnsi="Arial Narrow"/>
                <w:sz w:val="22"/>
                <w:szCs w:val="22"/>
              </w:rPr>
            </w:pPr>
            <w:r>
              <w:rPr>
                <w:rFonts w:ascii="Arial Narrow" w:hAnsi="Arial Narrow"/>
                <w:sz w:val="22"/>
                <w:szCs w:val="22"/>
              </w:rPr>
              <w:t xml:space="preserve">Regular assessments developed and implemented to identify ‘gaps’ in learning </w:t>
            </w:r>
            <w:r>
              <w:rPr>
                <w:rFonts w:ascii="Arial Narrow" w:hAnsi="Arial Narrow"/>
                <w:sz w:val="22"/>
                <w:szCs w:val="22"/>
              </w:rPr>
              <w:t>which inform planning</w:t>
            </w:r>
          </w:p>
          <w:p w:rsidR="00F72948" w:rsidRDefault="00053647">
            <w:pPr>
              <w:pStyle w:val="TableRow"/>
              <w:numPr>
                <w:ilvl w:val="0"/>
                <w:numId w:val="44"/>
              </w:numPr>
              <w:spacing w:before="0" w:after="0"/>
              <w:rPr>
                <w:rFonts w:ascii="Arial Narrow" w:hAnsi="Arial Narrow"/>
                <w:sz w:val="22"/>
                <w:szCs w:val="22"/>
              </w:rPr>
            </w:pPr>
            <w:r>
              <w:rPr>
                <w:rFonts w:ascii="Arial Narrow" w:hAnsi="Arial Narrow"/>
                <w:sz w:val="22"/>
                <w:szCs w:val="22"/>
              </w:rPr>
              <w:t>Increased adult: pupil ratios in maths lessons Y1-Y6 for at least 3 sessions per week allowing target groups (including disadvantaged) to be identified</w:t>
            </w:r>
          </w:p>
          <w:p w:rsidR="00F72948" w:rsidRDefault="00053647">
            <w:pPr>
              <w:pStyle w:val="ListParagraph"/>
              <w:numPr>
                <w:ilvl w:val="0"/>
                <w:numId w:val="44"/>
              </w:numPr>
              <w:spacing w:after="0" w:line="240" w:lineRule="auto"/>
              <w:ind w:left="714" w:hanging="357"/>
              <w:rPr>
                <w:rFonts w:ascii="Arial Narrow" w:hAnsi="Arial Narrow"/>
                <w:sz w:val="22"/>
                <w:szCs w:val="22"/>
              </w:rPr>
            </w:pPr>
            <w:r>
              <w:rPr>
                <w:rFonts w:ascii="Arial Narrow" w:hAnsi="Arial Narrow"/>
                <w:sz w:val="22"/>
                <w:szCs w:val="22"/>
              </w:rPr>
              <w:t xml:space="preserve">SLT/in house mathematics experts strategically placed in identified bubbles so </w:t>
            </w:r>
            <w:r>
              <w:rPr>
                <w:rFonts w:ascii="Arial Narrow" w:hAnsi="Arial Narrow"/>
                <w:sz w:val="22"/>
                <w:szCs w:val="22"/>
              </w:rPr>
              <w:t>that good practice continues to be modelled, shared and disseminated</w:t>
            </w:r>
          </w:p>
          <w:p w:rsidR="00F72948" w:rsidRDefault="00F72948">
            <w:pPr>
              <w:pStyle w:val="TableRow"/>
              <w:spacing w:before="0" w:after="0"/>
              <w:rPr>
                <w:rFonts w:ascii="Arial Narrow" w:hAnsi="Arial Narrow"/>
                <w:sz w:val="22"/>
                <w:szCs w:val="22"/>
              </w:rPr>
            </w:pPr>
          </w:p>
          <w:p w:rsidR="00F72948" w:rsidRDefault="00053647">
            <w:pPr>
              <w:pStyle w:val="TableRow"/>
              <w:spacing w:before="0" w:after="0"/>
              <w:ind w:left="0"/>
              <w:rPr>
                <w:rFonts w:ascii="Arial Narrow" w:hAnsi="Arial Narrow"/>
                <w:sz w:val="22"/>
                <w:szCs w:val="22"/>
              </w:rPr>
            </w:pPr>
            <w:r>
              <w:rPr>
                <w:rFonts w:ascii="Arial Narrow" w:hAnsi="Arial Narrow"/>
                <w:sz w:val="22"/>
                <w:szCs w:val="22"/>
              </w:rPr>
              <w:t>High quality provision and teaching in EYFS:</w:t>
            </w:r>
          </w:p>
          <w:p w:rsidR="00F72948" w:rsidRDefault="00053647">
            <w:pPr>
              <w:pStyle w:val="TableRow"/>
              <w:numPr>
                <w:ilvl w:val="0"/>
                <w:numId w:val="45"/>
              </w:numPr>
              <w:spacing w:before="0" w:after="0"/>
              <w:rPr>
                <w:rFonts w:ascii="Arial Narrow" w:hAnsi="Arial Narrow"/>
                <w:sz w:val="22"/>
                <w:szCs w:val="22"/>
              </w:rPr>
            </w:pPr>
            <w:r>
              <w:rPr>
                <w:rFonts w:ascii="Arial Narrow" w:hAnsi="Arial Narrow"/>
                <w:sz w:val="22"/>
                <w:szCs w:val="22"/>
              </w:rPr>
              <w:t>Increased adult: pupil ratios in F1 and F2</w:t>
            </w:r>
          </w:p>
          <w:p w:rsidR="00F72948" w:rsidRDefault="00053647">
            <w:pPr>
              <w:pStyle w:val="TableRow"/>
              <w:numPr>
                <w:ilvl w:val="0"/>
                <w:numId w:val="45"/>
              </w:numPr>
              <w:spacing w:before="0" w:after="0"/>
              <w:rPr>
                <w:rFonts w:ascii="Arial Narrow" w:hAnsi="Arial Narrow"/>
                <w:sz w:val="22"/>
                <w:szCs w:val="22"/>
              </w:rPr>
            </w:pPr>
            <w:r>
              <w:rPr>
                <w:rFonts w:ascii="Arial Narrow" w:hAnsi="Arial Narrow"/>
                <w:sz w:val="22"/>
                <w:szCs w:val="22"/>
              </w:rPr>
              <w:t>Additional 0.6 teacher in F2 to increase pupil: teacher ratios</w:t>
            </w:r>
          </w:p>
          <w:p w:rsidR="00F72948" w:rsidRDefault="00053647">
            <w:pPr>
              <w:pStyle w:val="TableRow"/>
              <w:numPr>
                <w:ilvl w:val="0"/>
                <w:numId w:val="45"/>
              </w:numPr>
              <w:spacing w:before="0" w:after="0"/>
              <w:rPr>
                <w:rFonts w:ascii="Arial Narrow" w:hAnsi="Arial Narrow"/>
                <w:sz w:val="22"/>
                <w:szCs w:val="22"/>
              </w:rPr>
            </w:pPr>
            <w:r>
              <w:rPr>
                <w:rFonts w:ascii="Arial Narrow" w:hAnsi="Arial Narrow"/>
                <w:sz w:val="22"/>
                <w:szCs w:val="22"/>
              </w:rPr>
              <w:t>Phonological awareness programme in</w:t>
            </w:r>
            <w:r>
              <w:rPr>
                <w:rFonts w:ascii="Arial Narrow" w:hAnsi="Arial Narrow"/>
                <w:sz w:val="22"/>
                <w:szCs w:val="22"/>
              </w:rPr>
              <w:t xml:space="preserve"> place</w:t>
            </w:r>
          </w:p>
          <w:p w:rsidR="00F72948" w:rsidRDefault="00F72948">
            <w:pPr>
              <w:pStyle w:val="TableRow"/>
              <w:spacing w:before="0" w:after="0"/>
              <w:ind w:left="0"/>
              <w:rPr>
                <w:rFonts w:ascii="Arial Narrow" w:hAnsi="Arial Narrow"/>
                <w:sz w:val="22"/>
                <w:szCs w:val="22"/>
              </w:rPr>
            </w:pPr>
          </w:p>
          <w:p w:rsidR="00F72948" w:rsidRDefault="00053647">
            <w:pPr>
              <w:pStyle w:val="TableRow"/>
              <w:spacing w:before="0" w:after="0"/>
              <w:ind w:left="0"/>
              <w:rPr>
                <w:rFonts w:ascii="Arial Narrow" w:hAnsi="Arial Narrow"/>
                <w:sz w:val="22"/>
                <w:szCs w:val="22"/>
              </w:rPr>
            </w:pPr>
            <w:r>
              <w:rPr>
                <w:rFonts w:ascii="Arial Narrow" w:hAnsi="Arial Narrow"/>
                <w:sz w:val="22"/>
                <w:szCs w:val="22"/>
              </w:rPr>
              <w:t>High Quality Year 1 Provision:</w:t>
            </w:r>
          </w:p>
          <w:p w:rsidR="00F72948" w:rsidRDefault="00053647">
            <w:pPr>
              <w:pStyle w:val="TableRow"/>
              <w:numPr>
                <w:ilvl w:val="0"/>
                <w:numId w:val="38"/>
              </w:numPr>
              <w:spacing w:before="0" w:after="0"/>
              <w:rPr>
                <w:rFonts w:ascii="Arial Narrow" w:hAnsi="Arial Narrow"/>
                <w:sz w:val="22"/>
                <w:szCs w:val="22"/>
              </w:rPr>
            </w:pPr>
            <w:r>
              <w:rPr>
                <w:rFonts w:ascii="Arial Narrow" w:hAnsi="Arial Narrow"/>
                <w:sz w:val="22"/>
                <w:szCs w:val="22"/>
              </w:rPr>
              <w:t>Year 1 provision developed and implemented to ensure children have access to key elements of the Foundation Stage curriculum</w:t>
            </w:r>
          </w:p>
          <w:p w:rsidR="00F72948" w:rsidRDefault="00053647">
            <w:pPr>
              <w:pStyle w:val="TableRow"/>
              <w:numPr>
                <w:ilvl w:val="0"/>
                <w:numId w:val="38"/>
              </w:numPr>
              <w:spacing w:before="0" w:after="0"/>
              <w:rPr>
                <w:rFonts w:ascii="Arial Narrow" w:hAnsi="Arial Narrow"/>
                <w:sz w:val="22"/>
                <w:szCs w:val="22"/>
              </w:rPr>
            </w:pPr>
            <w:r>
              <w:rPr>
                <w:rFonts w:ascii="Arial Narrow" w:hAnsi="Arial Narrow"/>
                <w:sz w:val="22"/>
                <w:szCs w:val="22"/>
              </w:rPr>
              <w:t>SLT expert support strategically placed in Year 1</w:t>
            </w:r>
          </w:p>
          <w:p w:rsidR="00F72948" w:rsidRDefault="00F72948">
            <w:pPr>
              <w:pStyle w:val="TableRow"/>
              <w:spacing w:before="0" w:after="0"/>
              <w:ind w:left="0"/>
              <w:rPr>
                <w:rFonts w:ascii="Arial Narrow" w:hAnsi="Arial Narrow"/>
                <w:sz w:val="22"/>
                <w:szCs w:val="22"/>
              </w:rPr>
            </w:pPr>
          </w:p>
          <w:p w:rsidR="00F72948" w:rsidRDefault="00053647">
            <w:pPr>
              <w:pStyle w:val="TableRow"/>
              <w:spacing w:before="0" w:after="0"/>
              <w:ind w:left="0"/>
              <w:rPr>
                <w:rFonts w:ascii="Arial Narrow" w:hAnsi="Arial Narrow"/>
                <w:sz w:val="22"/>
                <w:szCs w:val="22"/>
              </w:rPr>
            </w:pPr>
            <w:r>
              <w:rPr>
                <w:rFonts w:ascii="Arial Narrow" w:hAnsi="Arial Narrow"/>
                <w:sz w:val="22"/>
                <w:szCs w:val="22"/>
              </w:rPr>
              <w:t>Additional teaching staff across the scho</w:t>
            </w:r>
            <w:r>
              <w:rPr>
                <w:rFonts w:ascii="Arial Narrow" w:hAnsi="Arial Narrow"/>
                <w:sz w:val="22"/>
                <w:szCs w:val="22"/>
              </w:rPr>
              <w:t>ol to ensure quality first teaching:</w:t>
            </w:r>
          </w:p>
          <w:p w:rsidR="00F72948" w:rsidRDefault="00053647">
            <w:pPr>
              <w:pStyle w:val="TableRow"/>
              <w:numPr>
                <w:ilvl w:val="0"/>
                <w:numId w:val="46"/>
              </w:numPr>
              <w:spacing w:before="0" w:after="0"/>
              <w:rPr>
                <w:rFonts w:ascii="Arial Narrow" w:hAnsi="Arial Narrow"/>
                <w:sz w:val="22"/>
                <w:szCs w:val="22"/>
              </w:rPr>
            </w:pPr>
            <w:r>
              <w:rPr>
                <w:rFonts w:ascii="Arial Narrow" w:hAnsi="Arial Narrow"/>
                <w:sz w:val="22"/>
                <w:szCs w:val="22"/>
              </w:rPr>
              <w:t>All staff carefully allocated to a class bubble – each bubble has three staff members</w:t>
            </w:r>
          </w:p>
          <w:p w:rsidR="00F72948" w:rsidRDefault="00053647">
            <w:pPr>
              <w:pStyle w:val="TableRow"/>
              <w:numPr>
                <w:ilvl w:val="0"/>
                <w:numId w:val="46"/>
              </w:numPr>
              <w:spacing w:before="0" w:after="0"/>
              <w:rPr>
                <w:rFonts w:ascii="Arial Narrow" w:hAnsi="Arial Narrow"/>
                <w:sz w:val="22"/>
                <w:szCs w:val="22"/>
              </w:rPr>
            </w:pPr>
            <w:r>
              <w:rPr>
                <w:rFonts w:ascii="Arial Narrow" w:hAnsi="Arial Narrow"/>
                <w:sz w:val="22"/>
                <w:szCs w:val="22"/>
              </w:rPr>
              <w:t>Children always taught by a qualified teacher – PPA and staff absence covered internally</w:t>
            </w:r>
          </w:p>
        </w:tc>
      </w:tr>
      <w:tr w:rsidR="00F72948">
        <w:tblPrEx>
          <w:tblCellMar>
            <w:top w:w="0" w:type="dxa"/>
            <w:bottom w:w="0" w:type="dxa"/>
          </w:tblCellMar>
        </w:tblPrEx>
        <w:trPr>
          <w:trHeight w:val="3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cs="Calibri"/>
                <w:sz w:val="22"/>
                <w:szCs w:val="22"/>
              </w:rPr>
            </w:pPr>
            <w:r>
              <w:rPr>
                <w:rFonts w:ascii="Arial Narrow" w:hAnsi="Arial Narrow" w:cs="Calibri"/>
                <w:sz w:val="22"/>
                <w:szCs w:val="22"/>
              </w:rPr>
              <w:t xml:space="preserve">Projected spending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sz w:val="22"/>
                <w:szCs w:val="22"/>
              </w:rPr>
            </w:pPr>
            <w:r>
              <w:rPr>
                <w:rFonts w:ascii="Arial Narrow" w:hAnsi="Arial Narrow"/>
                <w:sz w:val="22"/>
                <w:szCs w:val="22"/>
              </w:rPr>
              <w:t>£73,695 ( includes % of</w:t>
            </w:r>
            <w:r>
              <w:rPr>
                <w:rFonts w:ascii="Arial Narrow" w:hAnsi="Arial Narrow"/>
                <w:sz w:val="22"/>
                <w:szCs w:val="22"/>
              </w:rPr>
              <w:t xml:space="preserve"> salary costs for support)</w:t>
            </w:r>
          </w:p>
        </w:tc>
      </w:tr>
      <w:tr w:rsidR="00F72948">
        <w:tblPrEx>
          <w:tblCellMar>
            <w:top w:w="0" w:type="dxa"/>
            <w:bottom w:w="0" w:type="dxa"/>
          </w:tblCellMar>
        </w:tblPrEx>
        <w:trPr>
          <w:trHeight w:val="3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cs="Calibri"/>
                <w:sz w:val="22"/>
                <w:szCs w:val="22"/>
              </w:rPr>
            </w:pPr>
            <w:r>
              <w:rPr>
                <w:rFonts w:ascii="Arial Narrow" w:hAnsi="Arial Narrow" w:cs="Calibri"/>
                <w:sz w:val="22"/>
                <w:szCs w:val="22"/>
              </w:rPr>
              <w:t>Monitoring</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sz w:val="22"/>
                <w:szCs w:val="22"/>
              </w:rPr>
            </w:pPr>
            <w:r>
              <w:rPr>
                <w:rFonts w:ascii="Arial Narrow" w:hAnsi="Arial Narrow"/>
                <w:sz w:val="22"/>
                <w:szCs w:val="22"/>
              </w:rPr>
              <w:t>EEF guidance reports used to inform implementation</w:t>
            </w:r>
          </w:p>
          <w:p w:rsidR="00F72948" w:rsidRDefault="00053647">
            <w:pPr>
              <w:pStyle w:val="TableRow"/>
              <w:spacing w:before="0" w:after="0"/>
              <w:rPr>
                <w:rFonts w:ascii="Arial Narrow" w:hAnsi="Arial Narrow"/>
                <w:sz w:val="22"/>
                <w:szCs w:val="22"/>
              </w:rPr>
            </w:pPr>
            <w:r>
              <w:rPr>
                <w:rFonts w:ascii="Arial Narrow" w:hAnsi="Arial Narrow"/>
                <w:sz w:val="22"/>
                <w:szCs w:val="22"/>
              </w:rPr>
              <w:t>Analysis of data and tracking</w:t>
            </w:r>
          </w:p>
          <w:p w:rsidR="00F72948" w:rsidRDefault="00053647">
            <w:pPr>
              <w:pStyle w:val="TableRow"/>
              <w:spacing w:before="0" w:after="0"/>
              <w:rPr>
                <w:rFonts w:ascii="Arial Narrow" w:hAnsi="Arial Narrow"/>
                <w:sz w:val="22"/>
                <w:szCs w:val="22"/>
              </w:rPr>
            </w:pPr>
            <w:r>
              <w:rPr>
                <w:rFonts w:ascii="Arial Narrow" w:hAnsi="Arial Narrow"/>
                <w:sz w:val="22"/>
                <w:szCs w:val="22"/>
              </w:rPr>
              <w:t>School formal monitoring cycle of provision and progress</w:t>
            </w:r>
          </w:p>
          <w:p w:rsidR="00F72948" w:rsidRDefault="00053647">
            <w:pPr>
              <w:pStyle w:val="TableRow"/>
              <w:spacing w:before="0" w:after="0"/>
              <w:rPr>
                <w:rFonts w:ascii="Arial Narrow" w:hAnsi="Arial Narrow"/>
                <w:sz w:val="22"/>
                <w:szCs w:val="22"/>
              </w:rPr>
            </w:pPr>
            <w:r>
              <w:rPr>
                <w:rFonts w:ascii="Arial Narrow" w:hAnsi="Arial Narrow"/>
                <w:sz w:val="22"/>
                <w:szCs w:val="22"/>
              </w:rPr>
              <w:t>CPD records</w:t>
            </w:r>
          </w:p>
          <w:p w:rsidR="00F72948" w:rsidRDefault="00053647">
            <w:pPr>
              <w:pStyle w:val="TableRow"/>
              <w:spacing w:before="0" w:after="0"/>
              <w:rPr>
                <w:rFonts w:ascii="Arial Narrow" w:hAnsi="Arial Narrow"/>
                <w:sz w:val="22"/>
                <w:szCs w:val="22"/>
              </w:rPr>
            </w:pPr>
            <w:r>
              <w:rPr>
                <w:rFonts w:ascii="Arial Narrow" w:hAnsi="Arial Narrow"/>
                <w:sz w:val="22"/>
                <w:szCs w:val="22"/>
              </w:rPr>
              <w:t xml:space="preserve">Termly report to Local Governing Body </w:t>
            </w:r>
          </w:p>
        </w:tc>
      </w:tr>
    </w:tbl>
    <w:p w:rsidR="00F72948" w:rsidRDefault="00F72948"/>
    <w:p w:rsidR="00F72948" w:rsidRDefault="00053647">
      <w:pPr>
        <w:pStyle w:val="Heading2"/>
        <w:spacing w:before="0" w:after="0"/>
      </w:pPr>
      <w:r>
        <w:rPr>
          <w:rFonts w:ascii="Arial Narrow" w:hAnsi="Arial Narrow"/>
          <w:color w:val="FF0000"/>
          <w:sz w:val="22"/>
          <w:szCs w:val="22"/>
        </w:rPr>
        <w:t xml:space="preserve">Targeted academic support </w:t>
      </w:r>
      <w:r>
        <w:rPr>
          <w:rFonts w:ascii="Arial Narrow" w:hAnsi="Arial Narrow"/>
          <w:sz w:val="22"/>
          <w:szCs w:val="22"/>
        </w:rPr>
        <w:t>for current academic year</w:t>
      </w:r>
    </w:p>
    <w:tbl>
      <w:tblPr>
        <w:tblW w:w="9776" w:type="dxa"/>
        <w:tblCellMar>
          <w:left w:w="10" w:type="dxa"/>
          <w:right w:w="10" w:type="dxa"/>
        </w:tblCellMar>
        <w:tblLook w:val="0000" w:firstRow="0" w:lastRow="0" w:firstColumn="0" w:lastColumn="0" w:noHBand="0" w:noVBand="0"/>
      </w:tblPr>
      <w:tblGrid>
        <w:gridCol w:w="3256"/>
        <w:gridCol w:w="6520"/>
      </w:tblGrid>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pPr>
            <w:r>
              <w:rPr>
                <w:rFonts w:ascii="Arial Narrow" w:hAnsi="Arial Narrow"/>
                <w:b/>
                <w:sz w:val="22"/>
                <w:szCs w:val="22"/>
              </w:rPr>
              <w:t>Measure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pPr>
            <w:r>
              <w:rPr>
                <w:rFonts w:ascii="Arial Narrow" w:hAnsi="Arial Narrow"/>
                <w:b/>
                <w:sz w:val="22"/>
                <w:szCs w:val="22"/>
              </w:rPr>
              <w:t>Activity</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ind w:left="0"/>
              <w:rPr>
                <w:rFonts w:ascii="Arial Narrow" w:hAnsi="Arial Narrow" w:cs="Calibri"/>
                <w:sz w:val="22"/>
                <w:szCs w:val="22"/>
              </w:rPr>
            </w:pPr>
            <w:r>
              <w:rPr>
                <w:rFonts w:ascii="Arial Narrow" w:hAnsi="Arial Narrow" w:cs="Calibri"/>
                <w:sz w:val="22"/>
                <w:szCs w:val="22"/>
              </w:rPr>
              <w:t>EYFS</w:t>
            </w:r>
          </w:p>
          <w:p w:rsidR="00F72948" w:rsidRDefault="00F72948">
            <w:pPr>
              <w:pStyle w:val="TableRow"/>
              <w:spacing w:before="0" w:after="0"/>
              <w:ind w:left="0"/>
              <w:rPr>
                <w:rFonts w:ascii="Arial Narrow" w:hAnsi="Arial Narrow" w:cs="Calibri"/>
                <w:sz w:val="22"/>
                <w:szCs w:val="22"/>
              </w:rPr>
            </w:pPr>
          </w:p>
          <w:p w:rsidR="00F72948" w:rsidRDefault="00053647">
            <w:pPr>
              <w:pStyle w:val="TableRow"/>
              <w:spacing w:before="0" w:after="0"/>
              <w:ind w:left="0"/>
              <w:rPr>
                <w:rFonts w:ascii="Arial Narrow" w:hAnsi="Arial Narrow" w:cs="Calibri"/>
                <w:sz w:val="22"/>
                <w:szCs w:val="22"/>
              </w:rPr>
            </w:pPr>
            <w:r>
              <w:rPr>
                <w:rFonts w:ascii="Arial Narrow" w:hAnsi="Arial Narrow" w:cs="Calibri"/>
                <w:sz w:val="22"/>
                <w:szCs w:val="22"/>
              </w:rPr>
              <w:t>Phonics and Early Reading</w:t>
            </w:r>
          </w:p>
          <w:p w:rsidR="00F72948" w:rsidRDefault="00F72948">
            <w:pPr>
              <w:pStyle w:val="TableRow"/>
              <w:spacing w:before="0" w:after="0"/>
              <w:ind w:left="0"/>
              <w:rPr>
                <w:rFonts w:ascii="Arial Narrow" w:hAnsi="Arial Narrow" w:cs="Calibri"/>
                <w:sz w:val="22"/>
                <w:szCs w:val="22"/>
              </w:rPr>
            </w:pPr>
          </w:p>
          <w:p w:rsidR="00F72948" w:rsidRDefault="00053647">
            <w:pPr>
              <w:pStyle w:val="TableRow"/>
              <w:spacing w:before="0" w:after="0"/>
              <w:ind w:left="0"/>
              <w:rPr>
                <w:rFonts w:ascii="Arial Narrow" w:hAnsi="Arial Narrow" w:cs="Calibri"/>
                <w:sz w:val="22"/>
                <w:szCs w:val="22"/>
              </w:rPr>
            </w:pPr>
            <w:r>
              <w:rPr>
                <w:rFonts w:ascii="Arial Narrow" w:hAnsi="Arial Narrow" w:cs="Calibri"/>
                <w:sz w:val="22"/>
                <w:szCs w:val="22"/>
              </w:rPr>
              <w:t>Mathematics</w:t>
            </w:r>
          </w:p>
          <w:p w:rsidR="00F72948" w:rsidRDefault="00F72948">
            <w:pPr>
              <w:pStyle w:val="TableRow"/>
              <w:spacing w:before="0" w:after="0"/>
              <w:ind w:left="0"/>
              <w:rPr>
                <w:rFonts w:ascii="Arial Narrow" w:hAnsi="Arial Narrow" w:cs="Calibri"/>
                <w:sz w:val="22"/>
                <w:szCs w:val="22"/>
              </w:rPr>
            </w:pPr>
          </w:p>
          <w:p w:rsidR="00F72948" w:rsidRDefault="00053647">
            <w:pPr>
              <w:pStyle w:val="TableRow"/>
              <w:spacing w:before="0" w:after="0"/>
              <w:ind w:left="0"/>
              <w:rPr>
                <w:rFonts w:ascii="Arial Narrow" w:hAnsi="Arial Narrow" w:cs="Calibri"/>
                <w:sz w:val="22"/>
                <w:szCs w:val="22"/>
              </w:rPr>
            </w:pPr>
            <w:r>
              <w:rPr>
                <w:rFonts w:ascii="Arial Narrow" w:hAnsi="Arial Narrow" w:cs="Calibri"/>
                <w:sz w:val="22"/>
                <w:szCs w:val="22"/>
              </w:rPr>
              <w:t>Attainment at the Higher Standard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sz w:val="22"/>
                <w:szCs w:val="22"/>
              </w:rPr>
            </w:pPr>
            <w:r>
              <w:rPr>
                <w:rFonts w:ascii="Arial Narrow" w:hAnsi="Arial Narrow"/>
                <w:sz w:val="22"/>
                <w:szCs w:val="22"/>
              </w:rPr>
              <w:t xml:space="preserve">Speech and language professional support from Bridge SLT: </w:t>
            </w:r>
          </w:p>
          <w:p w:rsidR="00F72948" w:rsidRDefault="00053647">
            <w:pPr>
              <w:pStyle w:val="TableRow"/>
              <w:numPr>
                <w:ilvl w:val="0"/>
                <w:numId w:val="45"/>
              </w:numPr>
              <w:spacing w:before="0" w:after="0"/>
              <w:rPr>
                <w:rFonts w:ascii="Arial Narrow" w:hAnsi="Arial Narrow"/>
                <w:sz w:val="22"/>
                <w:szCs w:val="22"/>
              </w:rPr>
            </w:pPr>
            <w:r>
              <w:rPr>
                <w:rFonts w:ascii="Arial Narrow" w:hAnsi="Arial Narrow"/>
                <w:sz w:val="22"/>
                <w:szCs w:val="22"/>
              </w:rPr>
              <w:t>Targeted work concentrating on language acquisition and speech therapy in</w:t>
            </w:r>
            <w:r>
              <w:rPr>
                <w:rFonts w:ascii="Arial Narrow" w:hAnsi="Arial Narrow"/>
                <w:sz w:val="22"/>
                <w:szCs w:val="22"/>
              </w:rPr>
              <w:t xml:space="preserve"> F1 and F2</w:t>
            </w:r>
          </w:p>
          <w:p w:rsidR="00F72948" w:rsidRDefault="00053647">
            <w:pPr>
              <w:pStyle w:val="TableRow"/>
              <w:numPr>
                <w:ilvl w:val="0"/>
                <w:numId w:val="45"/>
              </w:numPr>
              <w:spacing w:before="0" w:after="0"/>
              <w:rPr>
                <w:rFonts w:ascii="Arial Narrow" w:hAnsi="Arial Narrow"/>
                <w:sz w:val="22"/>
                <w:szCs w:val="22"/>
              </w:rPr>
            </w:pPr>
            <w:r>
              <w:rPr>
                <w:rFonts w:ascii="Arial Narrow" w:hAnsi="Arial Narrow"/>
                <w:sz w:val="22"/>
                <w:szCs w:val="22"/>
              </w:rPr>
              <w:t>Individual programmes for critical cases from across the school</w:t>
            </w:r>
          </w:p>
          <w:p w:rsidR="00F72948" w:rsidRDefault="00053647">
            <w:pPr>
              <w:pStyle w:val="TableRow"/>
              <w:numPr>
                <w:ilvl w:val="0"/>
                <w:numId w:val="45"/>
              </w:numPr>
              <w:spacing w:before="0" w:after="0"/>
              <w:rPr>
                <w:rFonts w:ascii="Arial Narrow" w:hAnsi="Arial Narrow"/>
                <w:sz w:val="22"/>
                <w:szCs w:val="22"/>
              </w:rPr>
            </w:pPr>
            <w:r>
              <w:rPr>
                <w:rFonts w:ascii="Arial Narrow" w:hAnsi="Arial Narrow"/>
                <w:sz w:val="22"/>
                <w:szCs w:val="22"/>
              </w:rPr>
              <w:t>Regular dialogue and support with identified TAs for speech and language in F1 –Y6 to  review and plan programmes for identified children</w:t>
            </w:r>
          </w:p>
          <w:p w:rsidR="00F72948" w:rsidRDefault="00053647">
            <w:pPr>
              <w:pStyle w:val="TableRow"/>
              <w:numPr>
                <w:ilvl w:val="0"/>
                <w:numId w:val="45"/>
              </w:numPr>
              <w:spacing w:before="0" w:after="0"/>
              <w:rPr>
                <w:rFonts w:ascii="Arial Narrow" w:hAnsi="Arial Narrow"/>
                <w:sz w:val="22"/>
                <w:szCs w:val="22"/>
              </w:rPr>
            </w:pPr>
            <w:r>
              <w:rPr>
                <w:rFonts w:ascii="Arial Narrow" w:hAnsi="Arial Narrow"/>
                <w:sz w:val="22"/>
                <w:szCs w:val="22"/>
              </w:rPr>
              <w:t>High quality training for TAs to deliver pr</w:t>
            </w:r>
            <w:r>
              <w:rPr>
                <w:rFonts w:ascii="Arial Narrow" w:hAnsi="Arial Narrow"/>
                <w:sz w:val="22"/>
                <w:szCs w:val="22"/>
              </w:rPr>
              <w:t>ogrammes</w:t>
            </w:r>
          </w:p>
          <w:p w:rsidR="00F72948" w:rsidRDefault="00F72948">
            <w:pPr>
              <w:pStyle w:val="TableRow"/>
              <w:spacing w:before="0" w:after="0"/>
              <w:ind w:left="0"/>
              <w:rPr>
                <w:rFonts w:ascii="Arial Narrow" w:hAnsi="Arial Narrow"/>
                <w:sz w:val="22"/>
                <w:szCs w:val="22"/>
              </w:rPr>
            </w:pPr>
          </w:p>
          <w:p w:rsidR="00F72948" w:rsidRDefault="00053647">
            <w:pPr>
              <w:pStyle w:val="TableRow"/>
              <w:spacing w:before="0" w:after="0"/>
              <w:ind w:left="0"/>
              <w:rPr>
                <w:rFonts w:ascii="Arial Narrow" w:hAnsi="Arial Narrow"/>
                <w:sz w:val="22"/>
                <w:szCs w:val="22"/>
              </w:rPr>
            </w:pPr>
            <w:r>
              <w:rPr>
                <w:rFonts w:ascii="Arial Narrow" w:hAnsi="Arial Narrow"/>
                <w:sz w:val="22"/>
                <w:szCs w:val="22"/>
              </w:rPr>
              <w:t>Same day/in class intervention for phonics, mathematics, reading and writing to accelerate progress for identified children at all levels:</w:t>
            </w:r>
          </w:p>
          <w:p w:rsidR="00F72948" w:rsidRDefault="00053647">
            <w:pPr>
              <w:pStyle w:val="TableRow"/>
              <w:numPr>
                <w:ilvl w:val="0"/>
                <w:numId w:val="47"/>
              </w:numPr>
              <w:spacing w:before="0" w:after="0"/>
              <w:rPr>
                <w:rFonts w:ascii="Arial Narrow" w:hAnsi="Arial Narrow"/>
                <w:sz w:val="22"/>
                <w:szCs w:val="22"/>
              </w:rPr>
            </w:pPr>
            <w:r>
              <w:rPr>
                <w:rFonts w:ascii="Arial Narrow" w:hAnsi="Arial Narrow"/>
                <w:sz w:val="22"/>
                <w:szCs w:val="22"/>
              </w:rPr>
              <w:t>Daily small group additional coaching for phonics</w:t>
            </w:r>
          </w:p>
          <w:p w:rsidR="00F72948" w:rsidRDefault="00053647">
            <w:pPr>
              <w:pStyle w:val="TableRow"/>
              <w:numPr>
                <w:ilvl w:val="0"/>
                <w:numId w:val="47"/>
              </w:numPr>
              <w:spacing w:before="0" w:after="0"/>
              <w:rPr>
                <w:rFonts w:ascii="Arial Narrow" w:hAnsi="Arial Narrow"/>
                <w:sz w:val="22"/>
                <w:szCs w:val="22"/>
              </w:rPr>
            </w:pPr>
            <w:r>
              <w:rPr>
                <w:rFonts w:ascii="Arial Narrow" w:hAnsi="Arial Narrow"/>
                <w:sz w:val="22"/>
                <w:szCs w:val="22"/>
              </w:rPr>
              <w:t xml:space="preserve">Daily small group additional tuition in mathematics and </w:t>
            </w:r>
            <w:r>
              <w:rPr>
                <w:rFonts w:ascii="Arial Narrow" w:hAnsi="Arial Narrow"/>
                <w:sz w:val="22"/>
                <w:szCs w:val="22"/>
              </w:rPr>
              <w:t>writing</w:t>
            </w:r>
          </w:p>
          <w:p w:rsidR="00F72948" w:rsidRDefault="00053647">
            <w:pPr>
              <w:pStyle w:val="TableRow"/>
              <w:numPr>
                <w:ilvl w:val="0"/>
                <w:numId w:val="47"/>
              </w:numPr>
              <w:spacing w:before="0" w:after="0"/>
              <w:rPr>
                <w:rFonts w:ascii="Arial Narrow" w:hAnsi="Arial Narrow"/>
                <w:sz w:val="22"/>
                <w:szCs w:val="22"/>
              </w:rPr>
            </w:pPr>
            <w:r>
              <w:rPr>
                <w:rFonts w:ascii="Arial Narrow" w:hAnsi="Arial Narrow"/>
                <w:sz w:val="22"/>
                <w:szCs w:val="22"/>
              </w:rPr>
              <w:t>Daily additional individual and small group reading</w:t>
            </w:r>
          </w:p>
          <w:p w:rsidR="00F72948" w:rsidRDefault="00053647">
            <w:pPr>
              <w:pStyle w:val="TableRow"/>
              <w:numPr>
                <w:ilvl w:val="0"/>
                <w:numId w:val="47"/>
              </w:numPr>
              <w:spacing w:before="0" w:after="0"/>
              <w:rPr>
                <w:rFonts w:ascii="Arial Narrow" w:hAnsi="Arial Narrow"/>
                <w:sz w:val="22"/>
                <w:szCs w:val="22"/>
              </w:rPr>
            </w:pPr>
            <w:r>
              <w:rPr>
                <w:rFonts w:ascii="Arial Narrow" w:hAnsi="Arial Narrow"/>
                <w:sz w:val="22"/>
                <w:szCs w:val="22"/>
              </w:rPr>
              <w:t>Daily additional Talk Boost sessions in EYFS</w:t>
            </w:r>
          </w:p>
          <w:p w:rsidR="00F72948" w:rsidRDefault="00F72948">
            <w:pPr>
              <w:pStyle w:val="TableRow"/>
              <w:spacing w:before="0" w:after="0"/>
              <w:ind w:left="720"/>
              <w:rPr>
                <w:rFonts w:ascii="Arial Narrow" w:hAnsi="Arial Narrow"/>
                <w:sz w:val="22"/>
                <w:szCs w:val="22"/>
              </w:rPr>
            </w:pPr>
          </w:p>
          <w:p w:rsidR="00F72948" w:rsidRDefault="00053647">
            <w:pPr>
              <w:pStyle w:val="TableRow"/>
              <w:spacing w:before="0" w:after="0"/>
              <w:rPr>
                <w:rFonts w:ascii="Arial Narrow" w:hAnsi="Arial Narrow"/>
                <w:sz w:val="22"/>
                <w:szCs w:val="22"/>
              </w:rPr>
            </w:pPr>
            <w:r>
              <w:rPr>
                <w:rFonts w:ascii="Arial Narrow" w:hAnsi="Arial Narrow"/>
                <w:sz w:val="22"/>
                <w:szCs w:val="22"/>
              </w:rPr>
              <w:t>Staffing in each bubble allows small group intervention to be identified, planned and delivered regularly across all subject areas in all classes</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ind w:left="0"/>
            </w:pPr>
            <w:r>
              <w:rPr>
                <w:rFonts w:ascii="Arial Narrow" w:hAnsi="Arial Narrow"/>
                <w:sz w:val="22"/>
                <w:szCs w:val="22"/>
              </w:rPr>
              <w:t>Emo</w:t>
            </w:r>
            <w:r>
              <w:rPr>
                <w:rFonts w:ascii="Arial Narrow" w:hAnsi="Arial Narrow"/>
                <w:sz w:val="22"/>
                <w:szCs w:val="22"/>
              </w:rPr>
              <w:t>tional Wellbeing and readiness to learn post COVID-19</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ind w:left="0"/>
              <w:rPr>
                <w:rFonts w:ascii="Arial Narrow" w:hAnsi="Arial Narrow"/>
                <w:sz w:val="22"/>
                <w:szCs w:val="22"/>
              </w:rPr>
            </w:pPr>
            <w:r>
              <w:rPr>
                <w:rFonts w:ascii="Arial Narrow" w:hAnsi="Arial Narrow"/>
                <w:sz w:val="22"/>
                <w:szCs w:val="22"/>
              </w:rPr>
              <w:t>Sustain role of Readiness to Learn Leader:</w:t>
            </w:r>
          </w:p>
          <w:p w:rsidR="00F72948" w:rsidRDefault="00053647">
            <w:pPr>
              <w:pStyle w:val="TableRow"/>
              <w:numPr>
                <w:ilvl w:val="0"/>
                <w:numId w:val="48"/>
              </w:numPr>
              <w:spacing w:before="0" w:after="0"/>
              <w:rPr>
                <w:rFonts w:ascii="Arial Narrow" w:hAnsi="Arial Narrow"/>
                <w:sz w:val="22"/>
                <w:szCs w:val="22"/>
              </w:rPr>
            </w:pPr>
            <w:r>
              <w:rPr>
                <w:rFonts w:ascii="Arial Narrow" w:hAnsi="Arial Narrow"/>
                <w:sz w:val="22"/>
                <w:szCs w:val="22"/>
              </w:rPr>
              <w:t>Overall wellbeing of children led at senior leadership level</w:t>
            </w:r>
          </w:p>
          <w:p w:rsidR="00F72948" w:rsidRDefault="00053647">
            <w:pPr>
              <w:pStyle w:val="TableRow"/>
              <w:numPr>
                <w:ilvl w:val="0"/>
                <w:numId w:val="48"/>
              </w:numPr>
              <w:spacing w:before="0" w:after="0"/>
              <w:rPr>
                <w:rFonts w:ascii="Arial Narrow" w:hAnsi="Arial Narrow"/>
                <w:sz w:val="22"/>
                <w:szCs w:val="22"/>
              </w:rPr>
            </w:pPr>
            <w:r>
              <w:rPr>
                <w:rFonts w:ascii="Arial Narrow" w:hAnsi="Arial Narrow"/>
                <w:sz w:val="22"/>
                <w:szCs w:val="22"/>
              </w:rPr>
              <w:t>Advice, support and development of programmes provided to support staff with identified children</w:t>
            </w:r>
          </w:p>
          <w:p w:rsidR="00F72948" w:rsidRDefault="00053647">
            <w:pPr>
              <w:pStyle w:val="TableRow"/>
              <w:numPr>
                <w:ilvl w:val="0"/>
                <w:numId w:val="48"/>
              </w:numPr>
              <w:spacing w:before="0" w:after="0"/>
              <w:rPr>
                <w:rFonts w:ascii="Arial Narrow" w:hAnsi="Arial Narrow"/>
                <w:sz w:val="22"/>
                <w:szCs w:val="22"/>
              </w:rPr>
            </w:pPr>
            <w:r>
              <w:rPr>
                <w:rFonts w:ascii="Arial Narrow" w:hAnsi="Arial Narrow"/>
                <w:sz w:val="22"/>
                <w:szCs w:val="22"/>
              </w:rPr>
              <w:t>Staffing in each bubble ensures that one: one or small group sessions for specific support programmes can be delivered and monitored for identified children</w:t>
            </w:r>
          </w:p>
          <w:p w:rsidR="00F72948" w:rsidRDefault="00F72948">
            <w:pPr>
              <w:pStyle w:val="TableRow"/>
              <w:spacing w:before="0" w:after="0"/>
              <w:ind w:left="720"/>
              <w:rPr>
                <w:rFonts w:ascii="Arial Narrow" w:hAnsi="Arial Narrow"/>
                <w:sz w:val="22"/>
                <w:szCs w:val="22"/>
              </w:rPr>
            </w:pPr>
          </w:p>
          <w:p w:rsidR="00F72948" w:rsidRDefault="00053647">
            <w:pPr>
              <w:pStyle w:val="TableRow"/>
              <w:spacing w:before="0" w:after="0"/>
              <w:ind w:left="0"/>
              <w:rPr>
                <w:rFonts w:ascii="Arial Narrow" w:hAnsi="Arial Narrow"/>
                <w:sz w:val="22"/>
                <w:szCs w:val="22"/>
              </w:rPr>
            </w:pPr>
            <w:r>
              <w:rPr>
                <w:rFonts w:ascii="Arial Narrow" w:hAnsi="Arial Narrow"/>
                <w:sz w:val="22"/>
                <w:szCs w:val="22"/>
              </w:rPr>
              <w:t>Jigsaw/PSHE Life Programme:</w:t>
            </w:r>
          </w:p>
          <w:p w:rsidR="00F72948" w:rsidRDefault="00053647">
            <w:pPr>
              <w:pStyle w:val="TableRow"/>
              <w:numPr>
                <w:ilvl w:val="0"/>
                <w:numId w:val="49"/>
              </w:numPr>
              <w:spacing w:before="0" w:after="0"/>
              <w:rPr>
                <w:rFonts w:ascii="Arial Narrow" w:hAnsi="Arial Narrow"/>
                <w:sz w:val="22"/>
                <w:szCs w:val="22"/>
              </w:rPr>
            </w:pPr>
            <w:r>
              <w:rPr>
                <w:rFonts w:ascii="Arial Narrow" w:hAnsi="Arial Narrow"/>
                <w:sz w:val="22"/>
                <w:szCs w:val="22"/>
              </w:rPr>
              <w:t>Additional Life After Lockdown programme implemented in addition to sc</w:t>
            </w:r>
            <w:r>
              <w:rPr>
                <w:rFonts w:ascii="Arial Narrow" w:hAnsi="Arial Narrow"/>
                <w:sz w:val="22"/>
                <w:szCs w:val="22"/>
              </w:rPr>
              <w:t>hool’s regular PSHE programme</w:t>
            </w:r>
          </w:p>
          <w:p w:rsidR="00F72948" w:rsidRDefault="00053647">
            <w:pPr>
              <w:pStyle w:val="TableRow"/>
              <w:numPr>
                <w:ilvl w:val="0"/>
                <w:numId w:val="49"/>
              </w:numPr>
              <w:spacing w:before="0" w:after="0"/>
              <w:rPr>
                <w:rFonts w:ascii="Arial Narrow" w:hAnsi="Arial Narrow"/>
                <w:sz w:val="22"/>
                <w:szCs w:val="22"/>
              </w:rPr>
            </w:pPr>
            <w:r>
              <w:rPr>
                <w:rFonts w:ascii="Arial Narrow" w:hAnsi="Arial Narrow"/>
                <w:sz w:val="22"/>
                <w:szCs w:val="22"/>
              </w:rPr>
              <w:t>Training for staff from Readiness to Learn Leader</w:t>
            </w:r>
          </w:p>
          <w:p w:rsidR="00F72948" w:rsidRDefault="00053647">
            <w:pPr>
              <w:pStyle w:val="TableRow"/>
              <w:numPr>
                <w:ilvl w:val="0"/>
                <w:numId w:val="49"/>
              </w:numPr>
              <w:spacing w:before="0" w:after="0"/>
              <w:rPr>
                <w:rFonts w:ascii="Arial Narrow" w:hAnsi="Arial Narrow"/>
                <w:sz w:val="22"/>
                <w:szCs w:val="22"/>
              </w:rPr>
            </w:pPr>
            <w:r>
              <w:rPr>
                <w:rFonts w:ascii="Arial Narrow" w:hAnsi="Arial Narrow"/>
                <w:sz w:val="22"/>
                <w:szCs w:val="22"/>
              </w:rPr>
              <w:t>Purchase of additional materials</w:t>
            </w:r>
          </w:p>
          <w:p w:rsidR="00F72948" w:rsidRDefault="00F72948">
            <w:pPr>
              <w:pStyle w:val="TableRow"/>
              <w:spacing w:before="0" w:after="0"/>
              <w:ind w:left="0"/>
              <w:rPr>
                <w:rFonts w:ascii="Arial Narrow" w:hAnsi="Arial Narrow"/>
                <w:sz w:val="22"/>
                <w:szCs w:val="22"/>
              </w:rPr>
            </w:pPr>
          </w:p>
          <w:p w:rsidR="00F72948" w:rsidRDefault="00053647">
            <w:pPr>
              <w:pStyle w:val="TableRow"/>
              <w:spacing w:before="0" w:after="0"/>
              <w:ind w:left="0"/>
              <w:rPr>
                <w:rFonts w:ascii="Arial Narrow" w:hAnsi="Arial Narrow"/>
                <w:sz w:val="22"/>
                <w:szCs w:val="22"/>
              </w:rPr>
            </w:pPr>
            <w:r>
              <w:rPr>
                <w:rFonts w:ascii="Arial Narrow" w:hAnsi="Arial Narrow"/>
                <w:sz w:val="22"/>
                <w:szCs w:val="22"/>
              </w:rPr>
              <w:t>Bespoke external service support for targeted disadvantaged children:</w:t>
            </w:r>
          </w:p>
          <w:p w:rsidR="00F72948" w:rsidRDefault="00053647">
            <w:pPr>
              <w:pStyle w:val="TableRow"/>
              <w:numPr>
                <w:ilvl w:val="0"/>
                <w:numId w:val="50"/>
              </w:numPr>
              <w:spacing w:before="0" w:after="0"/>
              <w:rPr>
                <w:rFonts w:ascii="Arial Narrow" w:hAnsi="Arial Narrow"/>
                <w:sz w:val="22"/>
                <w:szCs w:val="22"/>
              </w:rPr>
            </w:pPr>
            <w:proofErr w:type="spellStart"/>
            <w:r>
              <w:rPr>
                <w:rFonts w:ascii="Arial Narrow" w:hAnsi="Arial Narrow"/>
                <w:sz w:val="22"/>
                <w:szCs w:val="22"/>
              </w:rPr>
              <w:t>Advotalk</w:t>
            </w:r>
            <w:proofErr w:type="spellEnd"/>
            <w:r>
              <w:rPr>
                <w:rFonts w:ascii="Arial Narrow" w:hAnsi="Arial Narrow"/>
                <w:sz w:val="22"/>
                <w:szCs w:val="22"/>
              </w:rPr>
              <w:t xml:space="preserve"> – one session per week</w:t>
            </w:r>
          </w:p>
          <w:p w:rsidR="00F72948" w:rsidRDefault="00053647">
            <w:pPr>
              <w:pStyle w:val="TableRow"/>
              <w:numPr>
                <w:ilvl w:val="0"/>
                <w:numId w:val="50"/>
              </w:numPr>
              <w:spacing w:before="0" w:after="0"/>
              <w:rPr>
                <w:rFonts w:ascii="Arial Narrow" w:hAnsi="Arial Narrow"/>
                <w:sz w:val="22"/>
                <w:szCs w:val="22"/>
              </w:rPr>
            </w:pPr>
            <w:r>
              <w:rPr>
                <w:rFonts w:ascii="Arial Narrow" w:hAnsi="Arial Narrow"/>
                <w:sz w:val="22"/>
                <w:szCs w:val="22"/>
              </w:rPr>
              <w:t>Dog Therapy-one session per week</w:t>
            </w:r>
          </w:p>
          <w:p w:rsidR="00F72948" w:rsidRDefault="00F72948">
            <w:pPr>
              <w:pStyle w:val="TableRow"/>
              <w:spacing w:before="0" w:after="0"/>
              <w:rPr>
                <w:rFonts w:ascii="Arial Narrow" w:hAnsi="Arial Narrow"/>
                <w:sz w:val="22"/>
                <w:szCs w:val="22"/>
              </w:rPr>
            </w:pPr>
          </w:p>
          <w:p w:rsidR="00F72948" w:rsidRDefault="00053647">
            <w:pPr>
              <w:pStyle w:val="TableRow"/>
              <w:spacing w:before="0" w:after="0"/>
              <w:rPr>
                <w:rFonts w:ascii="Arial Narrow" w:hAnsi="Arial Narrow"/>
                <w:sz w:val="22"/>
                <w:szCs w:val="22"/>
              </w:rPr>
            </w:pPr>
            <w:r>
              <w:rPr>
                <w:rFonts w:ascii="Arial Narrow" w:hAnsi="Arial Narrow"/>
                <w:sz w:val="22"/>
                <w:szCs w:val="22"/>
              </w:rPr>
              <w:t>Develo</w:t>
            </w:r>
            <w:r>
              <w:rPr>
                <w:rFonts w:ascii="Arial Narrow" w:hAnsi="Arial Narrow"/>
                <w:sz w:val="22"/>
                <w:szCs w:val="22"/>
              </w:rPr>
              <w:t>pment of Sensory Motor Circuits:</w:t>
            </w:r>
          </w:p>
          <w:p w:rsidR="00F72948" w:rsidRDefault="00053647">
            <w:pPr>
              <w:pStyle w:val="TableRow"/>
              <w:numPr>
                <w:ilvl w:val="0"/>
                <w:numId w:val="51"/>
              </w:numPr>
              <w:spacing w:before="0" w:after="0"/>
              <w:rPr>
                <w:rFonts w:ascii="Arial Narrow" w:hAnsi="Arial Narrow"/>
                <w:sz w:val="22"/>
                <w:szCs w:val="22"/>
              </w:rPr>
            </w:pPr>
            <w:r>
              <w:rPr>
                <w:rFonts w:ascii="Arial Narrow" w:hAnsi="Arial Narrow"/>
                <w:sz w:val="22"/>
                <w:szCs w:val="22"/>
              </w:rPr>
              <w:t>Training for staff</w:t>
            </w:r>
          </w:p>
          <w:p w:rsidR="00F72948" w:rsidRDefault="00053647">
            <w:pPr>
              <w:pStyle w:val="TableRow"/>
              <w:numPr>
                <w:ilvl w:val="0"/>
                <w:numId w:val="51"/>
              </w:numPr>
              <w:spacing w:before="0" w:after="0"/>
              <w:rPr>
                <w:rFonts w:ascii="Arial Narrow" w:hAnsi="Arial Narrow"/>
                <w:sz w:val="22"/>
                <w:szCs w:val="22"/>
              </w:rPr>
            </w:pPr>
            <w:r>
              <w:rPr>
                <w:rFonts w:ascii="Arial Narrow" w:hAnsi="Arial Narrow"/>
                <w:sz w:val="22"/>
                <w:szCs w:val="22"/>
              </w:rPr>
              <w:t xml:space="preserve">Identification of children </w:t>
            </w:r>
          </w:p>
          <w:p w:rsidR="00F72948" w:rsidRDefault="00053647">
            <w:pPr>
              <w:pStyle w:val="TableRow"/>
              <w:numPr>
                <w:ilvl w:val="0"/>
                <w:numId w:val="51"/>
              </w:numPr>
              <w:spacing w:before="0" w:after="0"/>
              <w:rPr>
                <w:rFonts w:ascii="Arial Narrow" w:hAnsi="Arial Narrow"/>
                <w:sz w:val="22"/>
                <w:szCs w:val="22"/>
              </w:rPr>
            </w:pPr>
            <w:r>
              <w:rPr>
                <w:rFonts w:ascii="Arial Narrow" w:hAnsi="Arial Narrow"/>
                <w:sz w:val="22"/>
                <w:szCs w:val="22"/>
              </w:rPr>
              <w:t>Purchase of additional materials</w:t>
            </w:r>
          </w:p>
          <w:p w:rsidR="00F72948" w:rsidRDefault="00F72948">
            <w:pPr>
              <w:pStyle w:val="TableRow"/>
              <w:spacing w:before="0" w:after="0"/>
              <w:ind w:left="0"/>
              <w:rPr>
                <w:rFonts w:ascii="Arial Narrow" w:hAnsi="Arial Narrow"/>
                <w:sz w:val="22"/>
                <w:szCs w:val="22"/>
              </w:rPr>
            </w:pPr>
          </w:p>
          <w:p w:rsidR="00F72948" w:rsidRDefault="00053647">
            <w:pPr>
              <w:pStyle w:val="TableRow"/>
              <w:spacing w:before="0" w:after="0"/>
              <w:ind w:left="0"/>
              <w:rPr>
                <w:rFonts w:ascii="Arial Narrow" w:hAnsi="Arial Narrow"/>
                <w:sz w:val="22"/>
                <w:szCs w:val="22"/>
              </w:rPr>
            </w:pPr>
            <w:r>
              <w:rPr>
                <w:rFonts w:ascii="Arial Narrow" w:hAnsi="Arial Narrow"/>
                <w:sz w:val="22"/>
                <w:szCs w:val="22"/>
              </w:rPr>
              <w:t>Continued high level communication with parents:</w:t>
            </w:r>
          </w:p>
          <w:p w:rsidR="00F72948" w:rsidRDefault="00053647">
            <w:pPr>
              <w:pStyle w:val="TableRow"/>
              <w:numPr>
                <w:ilvl w:val="0"/>
                <w:numId w:val="52"/>
              </w:numPr>
              <w:spacing w:before="0" w:after="0"/>
              <w:rPr>
                <w:rFonts w:ascii="Arial Narrow" w:hAnsi="Arial Narrow"/>
                <w:sz w:val="22"/>
                <w:szCs w:val="22"/>
              </w:rPr>
            </w:pPr>
            <w:r>
              <w:rPr>
                <w:rFonts w:ascii="Arial Narrow" w:hAnsi="Arial Narrow"/>
                <w:sz w:val="22"/>
                <w:szCs w:val="22"/>
              </w:rPr>
              <w:t>Continue to work with parents to support children’s learning</w:t>
            </w:r>
          </w:p>
          <w:p w:rsidR="00F72948" w:rsidRDefault="00053647">
            <w:pPr>
              <w:pStyle w:val="TableRow"/>
              <w:numPr>
                <w:ilvl w:val="0"/>
                <w:numId w:val="52"/>
              </w:numPr>
              <w:spacing w:before="0" w:after="0"/>
              <w:rPr>
                <w:rFonts w:ascii="Arial Narrow" w:hAnsi="Arial Narrow"/>
                <w:sz w:val="22"/>
                <w:szCs w:val="22"/>
              </w:rPr>
            </w:pPr>
            <w:r>
              <w:rPr>
                <w:rFonts w:ascii="Arial Narrow" w:hAnsi="Arial Narrow"/>
                <w:sz w:val="22"/>
                <w:szCs w:val="22"/>
              </w:rPr>
              <w:t xml:space="preserve">Identification and support of </w:t>
            </w:r>
            <w:r>
              <w:rPr>
                <w:rFonts w:ascii="Arial Narrow" w:hAnsi="Arial Narrow"/>
                <w:sz w:val="22"/>
                <w:szCs w:val="22"/>
              </w:rPr>
              <w:t>most vulnerable families</w:t>
            </w:r>
          </w:p>
          <w:p w:rsidR="00F72948" w:rsidRDefault="00053647">
            <w:pPr>
              <w:pStyle w:val="TableRow"/>
              <w:numPr>
                <w:ilvl w:val="0"/>
                <w:numId w:val="52"/>
              </w:numPr>
              <w:spacing w:before="0" w:after="0"/>
              <w:rPr>
                <w:rFonts w:ascii="Arial Narrow" w:hAnsi="Arial Narrow"/>
                <w:sz w:val="22"/>
                <w:szCs w:val="22"/>
              </w:rPr>
            </w:pPr>
            <w:r>
              <w:rPr>
                <w:rFonts w:ascii="Arial Narrow" w:hAnsi="Arial Narrow"/>
                <w:sz w:val="22"/>
                <w:szCs w:val="22"/>
              </w:rPr>
              <w:t>Engagement with outreach services</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cs="Calibri"/>
                <w:sz w:val="22"/>
                <w:szCs w:val="22"/>
              </w:rPr>
            </w:pPr>
            <w:r>
              <w:rPr>
                <w:rFonts w:ascii="Arial Narrow" w:hAnsi="Arial Narrow" w:cs="Calibri"/>
                <w:sz w:val="22"/>
                <w:szCs w:val="22"/>
              </w:rPr>
              <w:t>Projected spending</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sz w:val="22"/>
                <w:szCs w:val="22"/>
              </w:rPr>
            </w:pPr>
            <w:r>
              <w:rPr>
                <w:rFonts w:ascii="Arial Narrow" w:hAnsi="Arial Narrow"/>
                <w:sz w:val="22"/>
                <w:szCs w:val="22"/>
              </w:rPr>
              <w:t>£38,275 (including % salary costs)</w:t>
            </w:r>
          </w:p>
        </w:tc>
      </w:tr>
      <w:tr w:rsidR="00F72948">
        <w:tblPrEx>
          <w:tblCellMar>
            <w:top w:w="0" w:type="dxa"/>
            <w:bottom w:w="0" w:type="dxa"/>
          </w:tblCellMar>
        </w:tblPrEx>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cs="Calibri"/>
                <w:sz w:val="22"/>
                <w:szCs w:val="22"/>
              </w:rPr>
            </w:pPr>
            <w:r>
              <w:rPr>
                <w:rFonts w:ascii="Arial Narrow" w:hAnsi="Arial Narrow" w:cs="Calibri"/>
                <w:sz w:val="22"/>
                <w:szCs w:val="22"/>
              </w:rPr>
              <w:t>Monitoring</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ind w:left="0"/>
              <w:rPr>
                <w:rFonts w:ascii="Arial Narrow" w:hAnsi="Arial Narrow"/>
                <w:sz w:val="22"/>
                <w:szCs w:val="22"/>
              </w:rPr>
            </w:pPr>
            <w:r>
              <w:rPr>
                <w:rFonts w:ascii="Arial Narrow" w:hAnsi="Arial Narrow"/>
                <w:sz w:val="22"/>
                <w:szCs w:val="22"/>
              </w:rPr>
              <w:t>EEF guidance reports used to inform implementation</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School formal monitoring cycle</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 xml:space="preserve">Lesson Observations focus on children’s </w:t>
            </w:r>
            <w:r>
              <w:rPr>
                <w:rFonts w:ascii="Arial Narrow" w:hAnsi="Arial Narrow"/>
                <w:sz w:val="22"/>
                <w:szCs w:val="22"/>
              </w:rPr>
              <w:t>behaviour for learning</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Analysis of data and tracking including tracking of individuals</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lastRenderedPageBreak/>
              <w:t>Regular meetings with speech and language professionals</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Weekly feedback from external service behaviour support</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Regular review of children’s individual behaviour plans</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T</w:t>
            </w:r>
            <w:r>
              <w:rPr>
                <w:rFonts w:ascii="Arial Narrow" w:hAnsi="Arial Narrow"/>
                <w:sz w:val="22"/>
                <w:szCs w:val="22"/>
              </w:rPr>
              <w:t>ermly report to Local Governing Body</w:t>
            </w:r>
          </w:p>
        </w:tc>
      </w:tr>
    </w:tbl>
    <w:p w:rsidR="00F72948" w:rsidRDefault="00F72948">
      <w:pPr>
        <w:pStyle w:val="Heading2"/>
        <w:spacing w:before="0" w:after="0"/>
        <w:rPr>
          <w:rFonts w:ascii="Arial Narrow" w:hAnsi="Arial Narrow"/>
          <w:color w:val="FF0000"/>
          <w:sz w:val="22"/>
          <w:szCs w:val="22"/>
        </w:rPr>
      </w:pPr>
    </w:p>
    <w:p w:rsidR="00F72948" w:rsidRDefault="00053647">
      <w:pPr>
        <w:pStyle w:val="Heading2"/>
        <w:spacing w:before="0" w:after="0"/>
      </w:pPr>
      <w:r>
        <w:rPr>
          <w:rFonts w:ascii="Arial Narrow" w:hAnsi="Arial Narrow"/>
          <w:color w:val="FF0000"/>
          <w:sz w:val="22"/>
          <w:szCs w:val="22"/>
        </w:rPr>
        <w:t xml:space="preserve">Wider strategies </w:t>
      </w:r>
      <w:r>
        <w:rPr>
          <w:rFonts w:ascii="Arial Narrow" w:hAnsi="Arial Narrow"/>
          <w:sz w:val="22"/>
          <w:szCs w:val="22"/>
        </w:rPr>
        <w:t>for current academic year</w:t>
      </w:r>
    </w:p>
    <w:tbl>
      <w:tblPr>
        <w:tblW w:w="9776" w:type="dxa"/>
        <w:tblCellMar>
          <w:left w:w="10" w:type="dxa"/>
          <w:right w:w="10" w:type="dxa"/>
        </w:tblCellMar>
        <w:tblLook w:val="0000" w:firstRow="0" w:lastRow="0" w:firstColumn="0" w:lastColumn="0" w:noHBand="0" w:noVBand="0"/>
      </w:tblPr>
      <w:tblGrid>
        <w:gridCol w:w="3539"/>
        <w:gridCol w:w="6237"/>
      </w:tblGrid>
      <w:tr w:rsidR="00F7294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b/>
                <w:sz w:val="22"/>
                <w:szCs w:val="22"/>
              </w:rPr>
            </w:pPr>
            <w:r>
              <w:rPr>
                <w:rFonts w:ascii="Arial Narrow" w:hAnsi="Arial Narrow"/>
                <w:b/>
                <w:sz w:val="22"/>
                <w:szCs w:val="22"/>
              </w:rPr>
              <w:t>Measure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b/>
                <w:sz w:val="22"/>
                <w:szCs w:val="22"/>
              </w:rPr>
            </w:pPr>
            <w:r>
              <w:rPr>
                <w:rFonts w:ascii="Arial Narrow" w:hAnsi="Arial Narrow"/>
                <w:b/>
                <w:sz w:val="22"/>
                <w:szCs w:val="22"/>
              </w:rPr>
              <w:t>Activity</w:t>
            </w:r>
          </w:p>
        </w:tc>
      </w:tr>
      <w:tr w:rsidR="00F7294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spacing w:before="0" w:after="0"/>
              <w:ind w:left="0"/>
              <w:rPr>
                <w:rFonts w:ascii="Arial Narrow" w:hAnsi="Arial Narrow" w:cs="Calibri"/>
                <w:sz w:val="22"/>
                <w:szCs w:val="22"/>
              </w:rPr>
            </w:pPr>
            <w:r>
              <w:rPr>
                <w:rFonts w:ascii="Arial Narrow" w:hAnsi="Arial Narrow" w:cs="Calibri"/>
                <w:sz w:val="22"/>
                <w:szCs w:val="22"/>
              </w:rPr>
              <w:t>Attendance and Persistent Absence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spacing w:before="0" w:after="0"/>
              <w:jc w:val="both"/>
              <w:rPr>
                <w:rFonts w:ascii="Arial Narrow" w:hAnsi="Arial Narrow"/>
                <w:sz w:val="22"/>
                <w:szCs w:val="22"/>
              </w:rPr>
            </w:pPr>
            <w:r>
              <w:rPr>
                <w:rFonts w:ascii="Arial Narrow" w:hAnsi="Arial Narrow"/>
                <w:sz w:val="22"/>
                <w:szCs w:val="22"/>
              </w:rPr>
              <w:t>Sustain post of Readiness to Learn Leadership role to focus on attendance supported by designated admin:</w:t>
            </w:r>
          </w:p>
          <w:p w:rsidR="00F72948" w:rsidRDefault="00053647">
            <w:pPr>
              <w:pStyle w:val="TableRow"/>
              <w:numPr>
                <w:ilvl w:val="0"/>
                <w:numId w:val="53"/>
              </w:numPr>
              <w:spacing w:before="0" w:after="0"/>
              <w:jc w:val="both"/>
              <w:rPr>
                <w:rFonts w:ascii="Arial Narrow" w:hAnsi="Arial Narrow"/>
                <w:sz w:val="22"/>
                <w:szCs w:val="22"/>
              </w:rPr>
            </w:pPr>
            <w:r>
              <w:rPr>
                <w:rFonts w:ascii="Arial Narrow" w:hAnsi="Arial Narrow"/>
                <w:sz w:val="22"/>
                <w:szCs w:val="22"/>
              </w:rPr>
              <w:t>First day absence</w:t>
            </w:r>
            <w:r>
              <w:rPr>
                <w:rFonts w:ascii="Arial Narrow" w:hAnsi="Arial Narrow"/>
                <w:sz w:val="22"/>
                <w:szCs w:val="22"/>
              </w:rPr>
              <w:t xml:space="preserve"> calls</w:t>
            </w:r>
          </w:p>
          <w:p w:rsidR="00F72948" w:rsidRDefault="00053647">
            <w:pPr>
              <w:pStyle w:val="TableRow"/>
              <w:numPr>
                <w:ilvl w:val="0"/>
                <w:numId w:val="53"/>
              </w:numPr>
              <w:spacing w:before="0" w:after="0"/>
              <w:jc w:val="both"/>
              <w:rPr>
                <w:rFonts w:ascii="Arial Narrow" w:hAnsi="Arial Narrow"/>
                <w:sz w:val="22"/>
                <w:szCs w:val="22"/>
              </w:rPr>
            </w:pPr>
            <w:r>
              <w:rPr>
                <w:rFonts w:ascii="Arial Narrow" w:hAnsi="Arial Narrow"/>
                <w:sz w:val="22"/>
                <w:szCs w:val="22"/>
              </w:rPr>
              <w:t>Home visits</w:t>
            </w:r>
          </w:p>
          <w:p w:rsidR="00F72948" w:rsidRDefault="00053647">
            <w:pPr>
              <w:pStyle w:val="TableRow"/>
              <w:numPr>
                <w:ilvl w:val="0"/>
                <w:numId w:val="53"/>
              </w:numPr>
              <w:spacing w:before="0" w:after="0"/>
              <w:jc w:val="both"/>
              <w:rPr>
                <w:rFonts w:ascii="Arial Narrow" w:hAnsi="Arial Narrow"/>
                <w:sz w:val="22"/>
                <w:szCs w:val="22"/>
              </w:rPr>
            </w:pPr>
            <w:r>
              <w:rPr>
                <w:rFonts w:ascii="Arial Narrow" w:hAnsi="Arial Narrow"/>
                <w:sz w:val="22"/>
                <w:szCs w:val="22"/>
              </w:rPr>
              <w:t>Provision and support for families in house</w:t>
            </w:r>
          </w:p>
          <w:p w:rsidR="00F72948" w:rsidRDefault="00053647">
            <w:pPr>
              <w:pStyle w:val="TableRow"/>
              <w:numPr>
                <w:ilvl w:val="0"/>
                <w:numId w:val="53"/>
              </w:numPr>
              <w:spacing w:before="0" w:after="0"/>
              <w:jc w:val="both"/>
              <w:rPr>
                <w:rFonts w:ascii="Arial Narrow" w:hAnsi="Arial Narrow"/>
                <w:sz w:val="22"/>
                <w:szCs w:val="22"/>
              </w:rPr>
            </w:pPr>
            <w:r>
              <w:rPr>
                <w:rFonts w:ascii="Arial Narrow" w:hAnsi="Arial Narrow"/>
                <w:sz w:val="22"/>
                <w:szCs w:val="22"/>
              </w:rPr>
              <w:t>Access to external support for families</w:t>
            </w:r>
          </w:p>
          <w:p w:rsidR="00F72948" w:rsidRDefault="00053647">
            <w:pPr>
              <w:pStyle w:val="TableRow"/>
              <w:numPr>
                <w:ilvl w:val="0"/>
                <w:numId w:val="53"/>
              </w:numPr>
              <w:spacing w:before="0" w:after="0"/>
              <w:jc w:val="both"/>
              <w:rPr>
                <w:rFonts w:ascii="Arial Narrow" w:hAnsi="Arial Narrow"/>
                <w:sz w:val="22"/>
                <w:szCs w:val="22"/>
              </w:rPr>
            </w:pPr>
            <w:r>
              <w:rPr>
                <w:rFonts w:ascii="Arial Narrow" w:hAnsi="Arial Narrow"/>
                <w:sz w:val="22"/>
                <w:szCs w:val="22"/>
              </w:rPr>
              <w:t>City wide Attendance strategy</w:t>
            </w:r>
          </w:p>
          <w:p w:rsidR="00F72948" w:rsidRDefault="00F72948">
            <w:pPr>
              <w:pStyle w:val="TableRow"/>
              <w:spacing w:before="0" w:after="0"/>
              <w:jc w:val="both"/>
              <w:rPr>
                <w:rFonts w:ascii="Arial Narrow" w:hAnsi="Arial Narrow"/>
                <w:sz w:val="22"/>
                <w:szCs w:val="22"/>
              </w:rPr>
            </w:pPr>
          </w:p>
          <w:p w:rsidR="00F72948" w:rsidRDefault="00053647">
            <w:pPr>
              <w:pStyle w:val="TableRow"/>
              <w:spacing w:before="0" w:after="0"/>
              <w:jc w:val="both"/>
              <w:rPr>
                <w:rFonts w:ascii="Arial Narrow" w:hAnsi="Arial Narrow"/>
                <w:sz w:val="22"/>
                <w:szCs w:val="22"/>
              </w:rPr>
            </w:pPr>
            <w:r>
              <w:rPr>
                <w:rFonts w:ascii="Arial Narrow" w:hAnsi="Arial Narrow"/>
                <w:sz w:val="22"/>
                <w:szCs w:val="22"/>
              </w:rPr>
              <w:t>Continue to fund free breakfast club to aid attendance and readiness to learn:</w:t>
            </w:r>
          </w:p>
          <w:p w:rsidR="00F72948" w:rsidRDefault="00053647">
            <w:pPr>
              <w:pStyle w:val="TableRow"/>
              <w:numPr>
                <w:ilvl w:val="0"/>
                <w:numId w:val="54"/>
              </w:numPr>
              <w:spacing w:before="0" w:after="0"/>
              <w:jc w:val="both"/>
              <w:rPr>
                <w:rFonts w:ascii="Arial Narrow" w:hAnsi="Arial Narrow"/>
                <w:sz w:val="22"/>
                <w:szCs w:val="22"/>
              </w:rPr>
            </w:pPr>
            <w:r>
              <w:rPr>
                <w:rFonts w:ascii="Arial Narrow" w:hAnsi="Arial Narrow"/>
                <w:sz w:val="22"/>
                <w:szCs w:val="22"/>
              </w:rPr>
              <w:t>Vulnerable children targeted to attend</w:t>
            </w:r>
          </w:p>
          <w:p w:rsidR="00F72948" w:rsidRDefault="00053647">
            <w:pPr>
              <w:pStyle w:val="TableRow"/>
              <w:numPr>
                <w:ilvl w:val="0"/>
                <w:numId w:val="54"/>
              </w:numPr>
              <w:spacing w:before="0" w:after="0"/>
              <w:jc w:val="both"/>
              <w:rPr>
                <w:rFonts w:ascii="Arial Narrow" w:hAnsi="Arial Narrow"/>
                <w:sz w:val="22"/>
                <w:szCs w:val="22"/>
              </w:rPr>
            </w:pPr>
            <w:r>
              <w:rPr>
                <w:rFonts w:ascii="Arial Narrow" w:hAnsi="Arial Narrow"/>
                <w:sz w:val="22"/>
                <w:szCs w:val="22"/>
              </w:rPr>
              <w:t>High</w:t>
            </w:r>
            <w:r>
              <w:rPr>
                <w:rFonts w:ascii="Arial Narrow" w:hAnsi="Arial Narrow"/>
                <w:sz w:val="22"/>
                <w:szCs w:val="22"/>
              </w:rPr>
              <w:t xml:space="preserve"> quality activities/provision on offer to children who attend</w:t>
            </w:r>
          </w:p>
        </w:tc>
      </w:tr>
      <w:tr w:rsidR="00F7294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spacing w:before="0" w:after="0"/>
              <w:ind w:left="0"/>
              <w:rPr>
                <w:rFonts w:ascii="Arial Narrow" w:hAnsi="Arial Narrow" w:cs="Calibri"/>
                <w:sz w:val="22"/>
                <w:szCs w:val="22"/>
              </w:rPr>
            </w:pPr>
            <w:r>
              <w:rPr>
                <w:rFonts w:ascii="Arial Narrow" w:hAnsi="Arial Narrow" w:cs="Calibri"/>
                <w:sz w:val="22"/>
                <w:szCs w:val="22"/>
              </w:rPr>
              <w:t>Equality of opportunity for experiences within and beyond local environment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numPr>
                <w:ilvl w:val="0"/>
                <w:numId w:val="55"/>
              </w:numPr>
              <w:spacing w:before="0" w:after="0"/>
              <w:jc w:val="both"/>
              <w:rPr>
                <w:rFonts w:ascii="Arial Narrow" w:hAnsi="Arial Narrow"/>
                <w:sz w:val="22"/>
                <w:szCs w:val="22"/>
              </w:rPr>
            </w:pPr>
            <w:r>
              <w:rPr>
                <w:rFonts w:ascii="Arial Narrow" w:hAnsi="Arial Narrow"/>
                <w:sz w:val="22"/>
                <w:szCs w:val="22"/>
              </w:rPr>
              <w:t>Enrichment through visits and visitors heavily subsidised:</w:t>
            </w:r>
          </w:p>
          <w:p w:rsidR="00F72948" w:rsidRDefault="00053647">
            <w:pPr>
              <w:pStyle w:val="TableRow"/>
              <w:numPr>
                <w:ilvl w:val="0"/>
                <w:numId w:val="56"/>
              </w:numPr>
              <w:spacing w:before="0" w:after="0"/>
              <w:jc w:val="both"/>
              <w:rPr>
                <w:rFonts w:ascii="Arial Narrow" w:hAnsi="Arial Narrow"/>
                <w:sz w:val="22"/>
                <w:szCs w:val="22"/>
              </w:rPr>
            </w:pPr>
            <w:r>
              <w:rPr>
                <w:rFonts w:ascii="Arial Narrow" w:hAnsi="Arial Narrow"/>
                <w:sz w:val="22"/>
                <w:szCs w:val="22"/>
              </w:rPr>
              <w:t>Increased opportunities for instrumental tuition leading t</w:t>
            </w:r>
            <w:r>
              <w:rPr>
                <w:rFonts w:ascii="Arial Narrow" w:hAnsi="Arial Narrow"/>
                <w:sz w:val="22"/>
                <w:szCs w:val="22"/>
              </w:rPr>
              <w:t>o performance opportunities</w:t>
            </w:r>
          </w:p>
        </w:tc>
      </w:tr>
      <w:tr w:rsidR="00F7294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spacing w:before="0" w:after="0"/>
              <w:ind w:left="0"/>
              <w:rPr>
                <w:rFonts w:ascii="Arial Narrow" w:hAnsi="Arial Narrow" w:cs="Calibri"/>
                <w:sz w:val="22"/>
                <w:szCs w:val="22"/>
              </w:rPr>
            </w:pPr>
            <w:r>
              <w:rPr>
                <w:rFonts w:ascii="Arial Narrow" w:hAnsi="Arial Narrow" w:cs="Calibri"/>
                <w:sz w:val="22"/>
                <w:szCs w:val="22"/>
              </w:rPr>
              <w:t>Projected spending</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sz w:val="22"/>
                <w:szCs w:val="22"/>
              </w:rPr>
            </w:pPr>
            <w:r>
              <w:rPr>
                <w:rFonts w:ascii="Arial Narrow" w:hAnsi="Arial Narrow"/>
                <w:sz w:val="22"/>
                <w:szCs w:val="22"/>
              </w:rPr>
              <w:t xml:space="preserve">£18,960 </w:t>
            </w:r>
          </w:p>
        </w:tc>
      </w:tr>
      <w:tr w:rsidR="00F7294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spacing w:before="0" w:after="0"/>
              <w:ind w:left="0"/>
              <w:rPr>
                <w:rFonts w:ascii="Arial Narrow" w:hAnsi="Arial Narrow" w:cs="Calibri"/>
                <w:sz w:val="22"/>
                <w:szCs w:val="22"/>
              </w:rPr>
            </w:pPr>
            <w:r>
              <w:rPr>
                <w:rFonts w:ascii="Arial Narrow" w:hAnsi="Arial Narrow" w:cs="Calibri"/>
                <w:sz w:val="22"/>
                <w:szCs w:val="22"/>
              </w:rPr>
              <w:t>Monitoring</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ind w:left="0"/>
              <w:rPr>
                <w:rFonts w:ascii="Arial Narrow" w:hAnsi="Arial Narrow"/>
                <w:sz w:val="22"/>
                <w:szCs w:val="22"/>
              </w:rPr>
            </w:pPr>
            <w:r>
              <w:rPr>
                <w:rFonts w:ascii="Arial Narrow" w:hAnsi="Arial Narrow"/>
                <w:sz w:val="22"/>
                <w:szCs w:val="22"/>
              </w:rPr>
              <w:t>EEF guidance reports used to inform implementation</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Weekly attendance analysis with attendance lead</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Individual tracking of identified children</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Monthly update and action meetings with EWO</w:t>
            </w:r>
          </w:p>
          <w:p w:rsidR="00F72948" w:rsidRDefault="00053647">
            <w:pPr>
              <w:pStyle w:val="TableRow"/>
              <w:spacing w:before="0" w:after="0"/>
              <w:ind w:left="0"/>
              <w:rPr>
                <w:rFonts w:ascii="Arial Narrow" w:hAnsi="Arial Narrow"/>
                <w:sz w:val="22"/>
                <w:szCs w:val="22"/>
              </w:rPr>
            </w:pPr>
            <w:r>
              <w:rPr>
                <w:rFonts w:ascii="Arial Narrow" w:hAnsi="Arial Narrow"/>
                <w:sz w:val="22"/>
                <w:szCs w:val="22"/>
              </w:rPr>
              <w:t>Termly report to Local Governing Body</w:t>
            </w:r>
          </w:p>
        </w:tc>
      </w:tr>
    </w:tbl>
    <w:p w:rsidR="00F72948" w:rsidRDefault="00F72948">
      <w:pPr>
        <w:pStyle w:val="Heading2"/>
        <w:spacing w:before="0" w:after="0"/>
        <w:rPr>
          <w:rFonts w:ascii="Arial Narrow" w:hAnsi="Arial Narrow"/>
          <w:sz w:val="22"/>
          <w:szCs w:val="22"/>
        </w:rPr>
      </w:pPr>
    </w:p>
    <w:p w:rsidR="00F72948" w:rsidRDefault="00F72948">
      <w:pPr>
        <w:pStyle w:val="Heading2"/>
        <w:spacing w:before="0" w:after="0"/>
        <w:rPr>
          <w:rFonts w:ascii="Arial Narrow" w:hAnsi="Arial Narrow"/>
          <w:sz w:val="22"/>
          <w:szCs w:val="22"/>
        </w:rPr>
      </w:pPr>
    </w:p>
    <w:p w:rsidR="00F72948" w:rsidRDefault="00053647">
      <w:pPr>
        <w:pStyle w:val="Heading2"/>
        <w:spacing w:before="0" w:after="0"/>
        <w:rPr>
          <w:rFonts w:ascii="Arial Narrow" w:hAnsi="Arial Narrow"/>
          <w:sz w:val="22"/>
          <w:szCs w:val="22"/>
        </w:rPr>
      </w:pPr>
      <w:r>
        <w:rPr>
          <w:rFonts w:ascii="Arial Narrow" w:hAnsi="Arial Narrow"/>
          <w:sz w:val="22"/>
          <w:szCs w:val="22"/>
        </w:rPr>
        <w:t>Review: last year’s aims and outcomes</w:t>
      </w:r>
    </w:p>
    <w:tbl>
      <w:tblPr>
        <w:tblW w:w="9776" w:type="dxa"/>
        <w:tblCellMar>
          <w:left w:w="10" w:type="dxa"/>
          <w:right w:w="10" w:type="dxa"/>
        </w:tblCellMar>
        <w:tblLook w:val="0000" w:firstRow="0" w:lastRow="0" w:firstColumn="0" w:lastColumn="0" w:noHBand="0" w:noVBand="0"/>
      </w:tblPr>
      <w:tblGrid>
        <w:gridCol w:w="4743"/>
        <w:gridCol w:w="5033"/>
      </w:tblGrid>
      <w:tr w:rsidR="00F7294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b/>
                <w:sz w:val="22"/>
                <w:szCs w:val="22"/>
              </w:rPr>
            </w:pPr>
            <w:r>
              <w:rPr>
                <w:rFonts w:ascii="Arial Narrow" w:hAnsi="Arial Narrow"/>
                <w:b/>
                <w:sz w:val="22"/>
                <w:szCs w:val="22"/>
              </w:rPr>
              <w:t>Aim</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b/>
                <w:sz w:val="22"/>
                <w:szCs w:val="22"/>
              </w:rPr>
            </w:pPr>
            <w:r>
              <w:rPr>
                <w:rFonts w:ascii="Arial Narrow" w:hAnsi="Arial Narrow"/>
                <w:b/>
                <w:sz w:val="22"/>
                <w:szCs w:val="22"/>
              </w:rPr>
              <w:t>Outcome</w:t>
            </w:r>
          </w:p>
        </w:tc>
      </w:tr>
      <w:tr w:rsidR="00F7294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spacing w:before="0" w:after="0"/>
              <w:rPr>
                <w:rFonts w:ascii="Arial Narrow" w:hAnsi="Arial Narrow"/>
                <w:sz w:val="22"/>
                <w:szCs w:val="22"/>
              </w:rPr>
            </w:pPr>
            <w:r>
              <w:rPr>
                <w:rFonts w:ascii="Arial Narrow" w:hAnsi="Arial Narrow"/>
                <w:sz w:val="22"/>
                <w:szCs w:val="22"/>
              </w:rPr>
              <w:t>Improve outcomes in maths at the expected standard and at greater depth</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numPr>
                <w:ilvl w:val="0"/>
                <w:numId w:val="39"/>
              </w:numPr>
              <w:spacing w:before="0" w:after="0"/>
              <w:rPr>
                <w:rFonts w:ascii="Arial Narrow" w:hAnsi="Arial Narrow"/>
                <w:sz w:val="22"/>
                <w:szCs w:val="22"/>
              </w:rPr>
            </w:pPr>
            <w:r>
              <w:rPr>
                <w:rFonts w:ascii="Arial Narrow" w:hAnsi="Arial Narrow"/>
                <w:sz w:val="22"/>
                <w:szCs w:val="22"/>
              </w:rPr>
              <w:t xml:space="preserve">In 2018/19 attainment and progress measures for disadvantaged children decreased at the end </w:t>
            </w:r>
            <w:r>
              <w:rPr>
                <w:rFonts w:ascii="Arial Narrow" w:hAnsi="Arial Narrow"/>
                <w:sz w:val="22"/>
                <w:szCs w:val="22"/>
              </w:rPr>
              <w:t>of KS2; outcomes in 2017/18 show that disadvantaged children outperformed others both nationally and in school in progress and at the expected standard</w:t>
            </w:r>
          </w:p>
          <w:p w:rsidR="00F72948" w:rsidRDefault="00053647">
            <w:pPr>
              <w:pStyle w:val="TableRow"/>
              <w:numPr>
                <w:ilvl w:val="0"/>
                <w:numId w:val="39"/>
              </w:numPr>
              <w:spacing w:before="0" w:after="0"/>
              <w:rPr>
                <w:rFonts w:ascii="Arial Narrow" w:hAnsi="Arial Narrow"/>
                <w:sz w:val="22"/>
                <w:szCs w:val="22"/>
              </w:rPr>
            </w:pPr>
            <w:r>
              <w:rPr>
                <w:rFonts w:ascii="Arial Narrow" w:hAnsi="Arial Narrow"/>
                <w:sz w:val="22"/>
                <w:szCs w:val="22"/>
              </w:rPr>
              <w:t>Although attainment in 2018/19 at the end of KS2 was impacted by one child who did not attend school and</w:t>
            </w:r>
            <w:r>
              <w:rPr>
                <w:rFonts w:ascii="Arial Narrow" w:hAnsi="Arial Narrow"/>
                <w:sz w:val="22"/>
                <w:szCs w:val="22"/>
              </w:rPr>
              <w:t xml:space="preserve"> did not take the SATs,  progress for disadvantaged children was below that for non-disadvantaged within school and nationally</w:t>
            </w:r>
          </w:p>
          <w:p w:rsidR="00F72948" w:rsidRDefault="00053647">
            <w:pPr>
              <w:pStyle w:val="TableRow"/>
              <w:numPr>
                <w:ilvl w:val="0"/>
                <w:numId w:val="57"/>
              </w:numPr>
              <w:spacing w:before="0" w:after="0"/>
              <w:rPr>
                <w:rFonts w:ascii="Arial Narrow" w:hAnsi="Arial Narrow"/>
                <w:sz w:val="22"/>
                <w:szCs w:val="22"/>
              </w:rPr>
            </w:pPr>
            <w:r>
              <w:rPr>
                <w:rFonts w:ascii="Arial Narrow" w:hAnsi="Arial Narrow"/>
                <w:sz w:val="22"/>
                <w:szCs w:val="22"/>
              </w:rPr>
              <w:t>2019/2020 – no published data due to COVID-19. Internal tracking and monitoring shows that disadvantaged children were on track t</w:t>
            </w:r>
            <w:r>
              <w:rPr>
                <w:rFonts w:ascii="Arial Narrow" w:hAnsi="Arial Narrow"/>
                <w:sz w:val="22"/>
                <w:szCs w:val="22"/>
              </w:rPr>
              <w:t>o match the national benchmark for attainment in maths at expected standard at KS2</w:t>
            </w:r>
          </w:p>
          <w:p w:rsidR="00F72948" w:rsidRDefault="00053647">
            <w:pPr>
              <w:pStyle w:val="TableRow"/>
              <w:numPr>
                <w:ilvl w:val="0"/>
                <w:numId w:val="57"/>
              </w:numPr>
              <w:spacing w:before="0" w:after="0"/>
              <w:rPr>
                <w:rFonts w:ascii="Arial Narrow" w:hAnsi="Arial Narrow"/>
                <w:sz w:val="22"/>
                <w:szCs w:val="22"/>
              </w:rPr>
            </w:pPr>
            <w:r>
              <w:rPr>
                <w:rFonts w:ascii="Arial Narrow" w:hAnsi="Arial Narrow"/>
                <w:sz w:val="22"/>
                <w:szCs w:val="22"/>
              </w:rPr>
              <w:t>Attainment in mathematics at the higher standard remains a priority within school</w:t>
            </w:r>
          </w:p>
        </w:tc>
      </w:tr>
      <w:tr w:rsidR="00F7294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spacing w:before="0" w:after="0"/>
              <w:rPr>
                <w:rFonts w:ascii="Arial Narrow" w:hAnsi="Arial Narrow"/>
                <w:sz w:val="22"/>
                <w:szCs w:val="22"/>
              </w:rPr>
            </w:pPr>
            <w:r>
              <w:rPr>
                <w:rFonts w:ascii="Arial Narrow" w:hAnsi="Arial Narrow"/>
                <w:sz w:val="22"/>
                <w:szCs w:val="22"/>
              </w:rPr>
              <w:t xml:space="preserve">Enhance speech and language provision through partnership working with Bridge SLT to </w:t>
            </w:r>
            <w:r>
              <w:rPr>
                <w:rFonts w:ascii="Arial Narrow" w:hAnsi="Arial Narrow"/>
                <w:sz w:val="22"/>
                <w:szCs w:val="22"/>
              </w:rPr>
              <w:t>develop and enhance:</w:t>
            </w:r>
          </w:p>
          <w:p w:rsidR="00F72948" w:rsidRDefault="00053647">
            <w:pPr>
              <w:pStyle w:val="TableRow"/>
              <w:numPr>
                <w:ilvl w:val="0"/>
                <w:numId w:val="58"/>
              </w:numPr>
              <w:spacing w:before="0" w:after="0"/>
              <w:rPr>
                <w:rFonts w:ascii="Arial Narrow" w:hAnsi="Arial Narrow"/>
                <w:sz w:val="22"/>
                <w:szCs w:val="22"/>
              </w:rPr>
            </w:pPr>
            <w:r>
              <w:rPr>
                <w:rFonts w:ascii="Arial Narrow" w:hAnsi="Arial Narrow"/>
                <w:sz w:val="22"/>
                <w:szCs w:val="22"/>
              </w:rPr>
              <w:t>Vocabulary</w:t>
            </w:r>
          </w:p>
          <w:p w:rsidR="00F72948" w:rsidRDefault="00053647">
            <w:pPr>
              <w:pStyle w:val="TableRow"/>
              <w:numPr>
                <w:ilvl w:val="0"/>
                <w:numId w:val="58"/>
              </w:numPr>
              <w:spacing w:before="0" w:after="0"/>
              <w:rPr>
                <w:rFonts w:ascii="Arial Narrow" w:hAnsi="Arial Narrow"/>
                <w:sz w:val="22"/>
                <w:szCs w:val="22"/>
              </w:rPr>
            </w:pPr>
            <w:r>
              <w:rPr>
                <w:rFonts w:ascii="Arial Narrow" w:hAnsi="Arial Narrow"/>
                <w:sz w:val="22"/>
                <w:szCs w:val="22"/>
              </w:rPr>
              <w:t>Language</w:t>
            </w:r>
          </w:p>
          <w:p w:rsidR="00F72948" w:rsidRDefault="00053647">
            <w:pPr>
              <w:pStyle w:val="TableRow"/>
              <w:numPr>
                <w:ilvl w:val="0"/>
                <w:numId w:val="58"/>
              </w:numPr>
              <w:spacing w:before="0" w:after="0"/>
              <w:rPr>
                <w:rFonts w:ascii="Arial Narrow" w:hAnsi="Arial Narrow"/>
                <w:sz w:val="22"/>
                <w:szCs w:val="22"/>
              </w:rPr>
            </w:pPr>
            <w:r>
              <w:rPr>
                <w:rFonts w:ascii="Arial Narrow" w:hAnsi="Arial Narrow"/>
                <w:sz w:val="22"/>
                <w:szCs w:val="22"/>
              </w:rPr>
              <w:t>Phonological awareness</w:t>
            </w:r>
          </w:p>
          <w:p w:rsidR="00F72948" w:rsidRDefault="00053647">
            <w:pPr>
              <w:pStyle w:val="TableRow"/>
              <w:numPr>
                <w:ilvl w:val="0"/>
                <w:numId w:val="58"/>
              </w:numPr>
              <w:spacing w:before="0" w:after="0"/>
              <w:rPr>
                <w:rFonts w:ascii="Arial Narrow" w:hAnsi="Arial Narrow"/>
                <w:sz w:val="22"/>
                <w:szCs w:val="22"/>
              </w:rPr>
            </w:pPr>
            <w:r>
              <w:rPr>
                <w:rFonts w:ascii="Arial Narrow" w:hAnsi="Arial Narrow"/>
                <w:sz w:val="22"/>
                <w:szCs w:val="22"/>
              </w:rPr>
              <w:lastRenderedPageBreak/>
              <w:t>Ability to successfully access the curriculum</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numPr>
                <w:ilvl w:val="0"/>
                <w:numId w:val="58"/>
              </w:numPr>
              <w:spacing w:before="0" w:after="0"/>
              <w:rPr>
                <w:rFonts w:ascii="Arial Narrow" w:hAnsi="Arial Narrow"/>
                <w:sz w:val="22"/>
                <w:szCs w:val="22"/>
              </w:rPr>
            </w:pPr>
            <w:r>
              <w:rPr>
                <w:rFonts w:ascii="Arial Narrow" w:hAnsi="Arial Narrow"/>
                <w:sz w:val="22"/>
                <w:szCs w:val="22"/>
              </w:rPr>
              <w:lastRenderedPageBreak/>
              <w:t>In 2018/19, 86% of children in F2 scored in the average range for their age</w:t>
            </w:r>
          </w:p>
          <w:p w:rsidR="00F72948" w:rsidRDefault="00053647">
            <w:pPr>
              <w:pStyle w:val="TableRow"/>
              <w:numPr>
                <w:ilvl w:val="0"/>
                <w:numId w:val="58"/>
              </w:numPr>
              <w:spacing w:before="0" w:after="0"/>
              <w:rPr>
                <w:rFonts w:ascii="Arial Narrow" w:hAnsi="Arial Narrow"/>
                <w:sz w:val="22"/>
                <w:szCs w:val="22"/>
              </w:rPr>
            </w:pPr>
            <w:r>
              <w:rPr>
                <w:rFonts w:ascii="Arial Narrow" w:hAnsi="Arial Narrow"/>
                <w:sz w:val="22"/>
                <w:szCs w:val="22"/>
              </w:rPr>
              <w:t>In 2019/2020 internal data shows that at least 81% of children were on</w:t>
            </w:r>
            <w:r>
              <w:rPr>
                <w:rFonts w:ascii="Arial Narrow" w:hAnsi="Arial Narrow"/>
                <w:sz w:val="22"/>
                <w:szCs w:val="22"/>
              </w:rPr>
              <w:t xml:space="preserve"> track to score within the average range for their age</w:t>
            </w:r>
          </w:p>
          <w:p w:rsidR="00F72948" w:rsidRDefault="00053647">
            <w:pPr>
              <w:pStyle w:val="TableRow"/>
              <w:numPr>
                <w:ilvl w:val="0"/>
                <w:numId w:val="58"/>
              </w:numPr>
              <w:spacing w:before="0" w:after="0"/>
              <w:rPr>
                <w:rFonts w:ascii="Arial Narrow" w:hAnsi="Arial Narrow"/>
                <w:sz w:val="22"/>
                <w:szCs w:val="22"/>
              </w:rPr>
            </w:pPr>
            <w:r>
              <w:rPr>
                <w:rFonts w:ascii="Arial Narrow" w:hAnsi="Arial Narrow"/>
                <w:sz w:val="22"/>
                <w:szCs w:val="22"/>
              </w:rPr>
              <w:lastRenderedPageBreak/>
              <w:t>In 2018-19 attainment of disadvantaged pupils reaching the required standard in Phonics was lower than that of non-disadvantaged and lower than others nationally</w:t>
            </w:r>
          </w:p>
        </w:tc>
      </w:tr>
      <w:tr w:rsidR="00F7294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spacing w:before="0" w:after="0"/>
              <w:rPr>
                <w:rFonts w:ascii="Arial Narrow" w:hAnsi="Arial Narrow"/>
                <w:sz w:val="22"/>
                <w:szCs w:val="22"/>
              </w:rPr>
            </w:pPr>
            <w:r>
              <w:rPr>
                <w:rFonts w:ascii="Arial Narrow" w:hAnsi="Arial Narrow"/>
                <w:sz w:val="22"/>
                <w:szCs w:val="22"/>
              </w:rPr>
              <w:lastRenderedPageBreak/>
              <w:t xml:space="preserve">Provide appropriate support to ensure </w:t>
            </w:r>
            <w:r>
              <w:rPr>
                <w:rFonts w:ascii="Arial Narrow" w:hAnsi="Arial Narrow"/>
                <w:sz w:val="22"/>
                <w:szCs w:val="22"/>
              </w:rPr>
              <w:t>that all children are ready to learn and are able to access the curriculum</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numPr>
                <w:ilvl w:val="0"/>
                <w:numId w:val="59"/>
              </w:numPr>
              <w:spacing w:before="0" w:after="0"/>
              <w:rPr>
                <w:rFonts w:ascii="Arial Narrow" w:hAnsi="Arial Narrow"/>
                <w:sz w:val="22"/>
                <w:szCs w:val="22"/>
              </w:rPr>
            </w:pPr>
            <w:r>
              <w:rPr>
                <w:rFonts w:ascii="Arial Narrow" w:hAnsi="Arial Narrow"/>
                <w:sz w:val="22"/>
                <w:szCs w:val="22"/>
              </w:rPr>
              <w:t>Lesson observations, CPOMs records and children’s personal plans show that disruption is rare and children display good behaviour for learning</w:t>
            </w:r>
          </w:p>
          <w:p w:rsidR="00F72948" w:rsidRDefault="00053647">
            <w:pPr>
              <w:pStyle w:val="TableRow"/>
              <w:numPr>
                <w:ilvl w:val="0"/>
                <w:numId w:val="59"/>
              </w:numPr>
              <w:spacing w:before="0" w:after="0"/>
              <w:rPr>
                <w:rFonts w:ascii="Arial Narrow" w:hAnsi="Arial Narrow"/>
                <w:sz w:val="22"/>
                <w:szCs w:val="22"/>
              </w:rPr>
            </w:pPr>
            <w:r>
              <w:rPr>
                <w:rFonts w:ascii="Arial Narrow" w:hAnsi="Arial Narrow"/>
                <w:sz w:val="22"/>
                <w:szCs w:val="22"/>
              </w:rPr>
              <w:t xml:space="preserve">3 year trend shows that outcomes in </w:t>
            </w:r>
            <w:r>
              <w:rPr>
                <w:rFonts w:ascii="Arial Narrow" w:hAnsi="Arial Narrow"/>
                <w:sz w:val="22"/>
                <w:szCs w:val="22"/>
              </w:rPr>
              <w:t>KS1 reading, writing and maths for disadvantaged remains below national outcomes at expected and at the higher standard</w:t>
            </w:r>
          </w:p>
          <w:p w:rsidR="00F72948" w:rsidRDefault="00053647">
            <w:pPr>
              <w:pStyle w:val="TableRow"/>
              <w:numPr>
                <w:ilvl w:val="0"/>
                <w:numId w:val="59"/>
              </w:numPr>
              <w:spacing w:before="0" w:after="0"/>
              <w:rPr>
                <w:rFonts w:ascii="Arial Narrow" w:hAnsi="Arial Narrow"/>
                <w:sz w:val="22"/>
                <w:szCs w:val="22"/>
              </w:rPr>
            </w:pPr>
            <w:r>
              <w:rPr>
                <w:rFonts w:ascii="Arial Narrow" w:hAnsi="Arial Narrow"/>
                <w:sz w:val="22"/>
                <w:szCs w:val="22"/>
              </w:rPr>
              <w:t>3 year trend shows that in KS2, RWM combined at the higher standard remains an issue particularly for disadvantaged children</w:t>
            </w:r>
          </w:p>
          <w:p w:rsidR="00F72948" w:rsidRDefault="00053647">
            <w:pPr>
              <w:pStyle w:val="TableRow"/>
              <w:numPr>
                <w:ilvl w:val="0"/>
                <w:numId w:val="59"/>
              </w:numPr>
              <w:spacing w:before="0" w:after="0"/>
              <w:rPr>
                <w:rFonts w:ascii="Arial Narrow" w:hAnsi="Arial Narrow"/>
                <w:sz w:val="22"/>
                <w:szCs w:val="22"/>
              </w:rPr>
            </w:pPr>
            <w:r>
              <w:rPr>
                <w:rFonts w:ascii="Arial Narrow" w:hAnsi="Arial Narrow"/>
                <w:sz w:val="22"/>
                <w:szCs w:val="22"/>
              </w:rPr>
              <w:t xml:space="preserve">Important </w:t>
            </w:r>
            <w:r>
              <w:rPr>
                <w:rFonts w:ascii="Arial Narrow" w:hAnsi="Arial Narrow"/>
                <w:sz w:val="22"/>
                <w:szCs w:val="22"/>
              </w:rPr>
              <w:t>to maintain high standards of behaviour for learning in order to continue to improve outcomes</w:t>
            </w:r>
          </w:p>
        </w:tc>
      </w:tr>
      <w:tr w:rsidR="00F7294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sz w:val="22"/>
                <w:szCs w:val="22"/>
              </w:rPr>
            </w:pPr>
            <w:r>
              <w:rPr>
                <w:rFonts w:ascii="Arial Narrow" w:hAnsi="Arial Narrow"/>
                <w:sz w:val="22"/>
                <w:szCs w:val="22"/>
              </w:rPr>
              <w:t>Continue to develop the curriculum so that explicit links are made and opportunities are maximised for all children</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numPr>
                <w:ilvl w:val="0"/>
                <w:numId w:val="60"/>
              </w:numPr>
              <w:spacing w:before="0" w:after="0"/>
              <w:rPr>
                <w:rFonts w:ascii="Arial Narrow" w:hAnsi="Arial Narrow"/>
                <w:sz w:val="22"/>
                <w:szCs w:val="22"/>
              </w:rPr>
            </w:pPr>
            <w:r>
              <w:rPr>
                <w:rFonts w:ascii="Arial Narrow" w:hAnsi="Arial Narrow"/>
                <w:sz w:val="22"/>
                <w:szCs w:val="22"/>
              </w:rPr>
              <w:t xml:space="preserve">Outcomes for all children at the end of Year </w:t>
            </w:r>
            <w:r>
              <w:rPr>
                <w:rFonts w:ascii="Arial Narrow" w:hAnsi="Arial Narrow"/>
                <w:sz w:val="22"/>
                <w:szCs w:val="22"/>
              </w:rPr>
              <w:t>6 do not yet match those seen nationally at all levels, particularly for disadvantaged children</w:t>
            </w:r>
          </w:p>
          <w:p w:rsidR="00F72948" w:rsidRDefault="00053647">
            <w:pPr>
              <w:pStyle w:val="TableRow"/>
              <w:numPr>
                <w:ilvl w:val="0"/>
                <w:numId w:val="60"/>
              </w:numPr>
              <w:spacing w:before="0" w:after="0"/>
              <w:rPr>
                <w:rFonts w:ascii="Arial Narrow" w:hAnsi="Arial Narrow"/>
                <w:sz w:val="22"/>
                <w:szCs w:val="22"/>
              </w:rPr>
            </w:pPr>
            <w:r>
              <w:rPr>
                <w:rFonts w:ascii="Arial Narrow" w:hAnsi="Arial Narrow"/>
                <w:sz w:val="22"/>
                <w:szCs w:val="22"/>
              </w:rPr>
              <w:t>In 2018/19 and 2019/20 children performed in a number of high quality music ensembles both locally and nationally</w:t>
            </w:r>
          </w:p>
        </w:tc>
      </w:tr>
      <w:tr w:rsidR="00F7294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2948" w:rsidRDefault="00053647">
            <w:pPr>
              <w:pStyle w:val="TableRow"/>
              <w:spacing w:before="0" w:after="0"/>
              <w:rPr>
                <w:rFonts w:ascii="Arial Narrow" w:hAnsi="Arial Narrow"/>
                <w:sz w:val="22"/>
                <w:szCs w:val="22"/>
              </w:rPr>
            </w:pPr>
            <w:r>
              <w:rPr>
                <w:rFonts w:ascii="Arial Narrow" w:hAnsi="Arial Narrow"/>
                <w:sz w:val="22"/>
                <w:szCs w:val="22"/>
              </w:rPr>
              <w:t xml:space="preserve">Improve attendance and reduce persistent </w:t>
            </w:r>
            <w:r>
              <w:rPr>
                <w:rFonts w:ascii="Arial Narrow" w:hAnsi="Arial Narrow"/>
                <w:sz w:val="22"/>
                <w:szCs w:val="22"/>
              </w:rPr>
              <w:t>absence</w:t>
            </w:r>
          </w:p>
          <w:p w:rsidR="00F72948" w:rsidRDefault="00F72948">
            <w:pPr>
              <w:pStyle w:val="TableRow"/>
              <w:spacing w:before="0" w:after="0"/>
              <w:rPr>
                <w:rFonts w:ascii="Arial Narrow" w:hAnsi="Arial Narrow"/>
                <w:sz w:val="22"/>
                <w:szCs w:val="22"/>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2948" w:rsidRDefault="00053647">
            <w:pPr>
              <w:pStyle w:val="TableRow"/>
              <w:numPr>
                <w:ilvl w:val="0"/>
                <w:numId w:val="61"/>
              </w:numPr>
              <w:spacing w:before="0" w:after="0"/>
              <w:rPr>
                <w:rFonts w:ascii="Arial Narrow" w:hAnsi="Arial Narrow"/>
                <w:sz w:val="22"/>
                <w:szCs w:val="22"/>
              </w:rPr>
            </w:pPr>
            <w:r>
              <w:rPr>
                <w:rFonts w:ascii="Arial Narrow" w:hAnsi="Arial Narrow"/>
                <w:sz w:val="22"/>
                <w:szCs w:val="22"/>
              </w:rPr>
              <w:t>School three year trend shows absence and persistent absent rates just above national</w:t>
            </w:r>
          </w:p>
          <w:p w:rsidR="00F72948" w:rsidRDefault="00053647">
            <w:pPr>
              <w:pStyle w:val="TableRow"/>
              <w:numPr>
                <w:ilvl w:val="0"/>
                <w:numId w:val="61"/>
              </w:numPr>
              <w:spacing w:before="0" w:after="0"/>
              <w:rPr>
                <w:rFonts w:ascii="Arial Narrow" w:hAnsi="Arial Narrow"/>
                <w:sz w:val="22"/>
                <w:szCs w:val="22"/>
              </w:rPr>
            </w:pPr>
            <w:r>
              <w:rPr>
                <w:rFonts w:ascii="Arial Narrow" w:hAnsi="Arial Narrow"/>
                <w:sz w:val="22"/>
                <w:szCs w:val="22"/>
              </w:rPr>
              <w:t xml:space="preserve">Attendance for disadvantaged using last available validated data show that absence is in line with national figure for disadvantaged but above non-disadvantaged </w:t>
            </w:r>
            <w:r>
              <w:rPr>
                <w:rFonts w:ascii="Arial Narrow" w:hAnsi="Arial Narrow"/>
                <w:sz w:val="22"/>
                <w:szCs w:val="22"/>
              </w:rPr>
              <w:t>by 1.4%</w:t>
            </w:r>
          </w:p>
          <w:p w:rsidR="00F72948" w:rsidRDefault="00053647">
            <w:pPr>
              <w:pStyle w:val="TableRow"/>
              <w:numPr>
                <w:ilvl w:val="0"/>
                <w:numId w:val="61"/>
              </w:numPr>
              <w:spacing w:before="0" w:after="0"/>
              <w:rPr>
                <w:rFonts w:ascii="Arial Narrow" w:hAnsi="Arial Narrow"/>
                <w:sz w:val="22"/>
                <w:szCs w:val="22"/>
              </w:rPr>
            </w:pPr>
            <w:r>
              <w:rPr>
                <w:rFonts w:ascii="Arial Narrow" w:hAnsi="Arial Narrow"/>
                <w:sz w:val="22"/>
                <w:szCs w:val="22"/>
              </w:rPr>
              <w:t>Persistent absence figure for disadvantaged is in line with national figure for all and below figure for national disadvantaged</w:t>
            </w:r>
          </w:p>
          <w:p w:rsidR="00F72948" w:rsidRDefault="00053647">
            <w:pPr>
              <w:pStyle w:val="TableRow"/>
              <w:numPr>
                <w:ilvl w:val="0"/>
                <w:numId w:val="61"/>
              </w:numPr>
              <w:spacing w:before="0" w:after="0"/>
              <w:rPr>
                <w:rFonts w:ascii="Arial Narrow" w:hAnsi="Arial Narrow"/>
                <w:sz w:val="22"/>
                <w:szCs w:val="22"/>
              </w:rPr>
            </w:pPr>
            <w:r>
              <w:rPr>
                <w:rFonts w:ascii="Arial Narrow" w:hAnsi="Arial Narrow"/>
                <w:sz w:val="22"/>
                <w:szCs w:val="22"/>
              </w:rPr>
              <w:t>Persistent absence figure for disadvantaged is lower than that by 1.7%</w:t>
            </w:r>
          </w:p>
          <w:p w:rsidR="00F72948" w:rsidRDefault="00053647">
            <w:pPr>
              <w:pStyle w:val="TableRow"/>
              <w:numPr>
                <w:ilvl w:val="0"/>
                <w:numId w:val="61"/>
              </w:numPr>
              <w:spacing w:before="0" w:after="0"/>
              <w:rPr>
                <w:rFonts w:ascii="Arial Narrow" w:hAnsi="Arial Narrow"/>
                <w:sz w:val="22"/>
                <w:szCs w:val="22"/>
              </w:rPr>
            </w:pPr>
            <w:r>
              <w:rPr>
                <w:rFonts w:ascii="Arial Narrow" w:hAnsi="Arial Narrow"/>
                <w:sz w:val="22"/>
                <w:szCs w:val="22"/>
              </w:rPr>
              <w:t>In 2018/19 attendance (and outcomes at the end of</w:t>
            </w:r>
            <w:r>
              <w:rPr>
                <w:rFonts w:ascii="Arial Narrow" w:hAnsi="Arial Narrow"/>
                <w:sz w:val="22"/>
                <w:szCs w:val="22"/>
              </w:rPr>
              <w:t xml:space="preserve"> KS2) for disadvantaged children was impacted by one child who did not attend school for majority of the year (and did not take SATs tests) </w:t>
            </w:r>
          </w:p>
          <w:p w:rsidR="00F72948" w:rsidRDefault="00053647">
            <w:pPr>
              <w:pStyle w:val="TableRow"/>
              <w:numPr>
                <w:ilvl w:val="0"/>
                <w:numId w:val="61"/>
              </w:numPr>
              <w:spacing w:before="0" w:after="0"/>
              <w:rPr>
                <w:rFonts w:ascii="Arial Narrow" w:hAnsi="Arial Narrow"/>
                <w:sz w:val="22"/>
                <w:szCs w:val="22"/>
              </w:rPr>
            </w:pPr>
            <w:r>
              <w:rPr>
                <w:rFonts w:ascii="Arial Narrow" w:hAnsi="Arial Narrow"/>
                <w:sz w:val="22"/>
                <w:szCs w:val="22"/>
              </w:rPr>
              <w:t>Attendance will need to remain a priority to ensure maximised learning opportunities for all children</w:t>
            </w:r>
          </w:p>
        </w:tc>
      </w:tr>
    </w:tbl>
    <w:p w:rsidR="00F72948" w:rsidRDefault="00F72948">
      <w:pPr>
        <w:spacing w:after="0" w:line="240" w:lineRule="auto"/>
        <w:jc w:val="center"/>
        <w:rPr>
          <w:rFonts w:ascii="Arial Narrow" w:hAnsi="Arial Narrow"/>
          <w:sz w:val="22"/>
          <w:szCs w:val="22"/>
        </w:rPr>
      </w:pPr>
    </w:p>
    <w:p w:rsidR="00F72948" w:rsidRDefault="00F72948">
      <w:pPr>
        <w:spacing w:after="0" w:line="240" w:lineRule="auto"/>
        <w:rPr>
          <w:rFonts w:cs="Arial"/>
          <w:color w:val="auto"/>
        </w:rPr>
      </w:pPr>
    </w:p>
    <w:sectPr w:rsidR="00F72948">
      <w:footerReference w:type="default" r:id="rId20"/>
      <w:pgSz w:w="11906" w:h="16838"/>
      <w:pgMar w:top="1134" w:right="1276" w:bottom="1134" w:left="1134" w:header="709" w:footer="709" w:gutter="0"/>
      <w:pgBorders w:offsetFrom="page">
        <w:top w:val="single" w:sz="18" w:space="24" w:color="7030A0"/>
        <w:left w:val="single" w:sz="18" w:space="24" w:color="7030A0"/>
        <w:bottom w:val="single" w:sz="18" w:space="24" w:color="7030A0"/>
        <w:right w:val="single" w:sz="18" w:space="24" w:color="7030A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3647">
      <w:pPr>
        <w:spacing w:after="0" w:line="240" w:lineRule="auto"/>
      </w:pPr>
      <w:r>
        <w:separator/>
      </w:r>
    </w:p>
  </w:endnote>
  <w:endnote w:type="continuationSeparator" w:id="0">
    <w:p w:rsidR="00000000" w:rsidRDefault="0005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3C" w:rsidRDefault="00053647">
    <w:pPr>
      <w:pStyle w:val="Footer"/>
      <w:ind w:firstLine="4513"/>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3647">
      <w:pPr>
        <w:spacing w:after="0" w:line="240" w:lineRule="auto"/>
      </w:pPr>
      <w:r>
        <w:separator/>
      </w:r>
    </w:p>
  </w:footnote>
  <w:footnote w:type="continuationSeparator" w:id="0">
    <w:p w:rsidR="00000000" w:rsidRDefault="00053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18F"/>
    <w:multiLevelType w:val="multilevel"/>
    <w:tmpl w:val="FE9E801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01EE2A3A"/>
    <w:multiLevelType w:val="multilevel"/>
    <w:tmpl w:val="4B60FB6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E25A1C"/>
    <w:multiLevelType w:val="multilevel"/>
    <w:tmpl w:val="4E022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FA7AF4"/>
    <w:multiLevelType w:val="multilevel"/>
    <w:tmpl w:val="9144556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15:restartNumberingAfterBreak="0">
    <w:nsid w:val="0AE7777B"/>
    <w:multiLevelType w:val="multilevel"/>
    <w:tmpl w:val="1398F4E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0B3237"/>
    <w:multiLevelType w:val="multilevel"/>
    <w:tmpl w:val="2FA06C6C"/>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15:restartNumberingAfterBreak="0">
    <w:nsid w:val="143018D8"/>
    <w:multiLevelType w:val="multilevel"/>
    <w:tmpl w:val="AB6CCD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C07399"/>
    <w:multiLevelType w:val="multilevel"/>
    <w:tmpl w:val="2C72755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F884BD5"/>
    <w:multiLevelType w:val="multilevel"/>
    <w:tmpl w:val="01C2DDF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A76ED0"/>
    <w:multiLevelType w:val="multilevel"/>
    <w:tmpl w:val="F848AA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52F364D"/>
    <w:multiLevelType w:val="multilevel"/>
    <w:tmpl w:val="E14471D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25C114A4"/>
    <w:multiLevelType w:val="multilevel"/>
    <w:tmpl w:val="3C305B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D75CEC"/>
    <w:multiLevelType w:val="multilevel"/>
    <w:tmpl w:val="4412BF2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3" w15:restartNumberingAfterBreak="0">
    <w:nsid w:val="2CE03821"/>
    <w:multiLevelType w:val="multilevel"/>
    <w:tmpl w:val="EDD8383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FB5CAD"/>
    <w:multiLevelType w:val="multilevel"/>
    <w:tmpl w:val="5C64F58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54363D"/>
    <w:multiLevelType w:val="multilevel"/>
    <w:tmpl w:val="F75416B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6" w15:restartNumberingAfterBreak="0">
    <w:nsid w:val="301F3ECC"/>
    <w:multiLevelType w:val="multilevel"/>
    <w:tmpl w:val="A2A03B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AD5D8D"/>
    <w:multiLevelType w:val="multilevel"/>
    <w:tmpl w:val="8760D8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4625305"/>
    <w:multiLevelType w:val="multilevel"/>
    <w:tmpl w:val="81342C8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9036F95"/>
    <w:multiLevelType w:val="multilevel"/>
    <w:tmpl w:val="10E2F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A614FC4"/>
    <w:multiLevelType w:val="multilevel"/>
    <w:tmpl w:val="CC6833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CCD39D5"/>
    <w:multiLevelType w:val="multilevel"/>
    <w:tmpl w:val="B20E4BD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2" w15:restartNumberingAfterBreak="0">
    <w:nsid w:val="3D036619"/>
    <w:multiLevelType w:val="multilevel"/>
    <w:tmpl w:val="2CC8582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DD4283A"/>
    <w:multiLevelType w:val="multilevel"/>
    <w:tmpl w:val="EC62FD0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4" w15:restartNumberingAfterBreak="0">
    <w:nsid w:val="3F4D3845"/>
    <w:multiLevelType w:val="multilevel"/>
    <w:tmpl w:val="DB46A2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0165E1E"/>
    <w:multiLevelType w:val="multilevel"/>
    <w:tmpl w:val="FD068AC4"/>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6" w15:restartNumberingAfterBreak="0">
    <w:nsid w:val="41BA3208"/>
    <w:multiLevelType w:val="multilevel"/>
    <w:tmpl w:val="0F4C429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7" w15:restartNumberingAfterBreak="0">
    <w:nsid w:val="44B63616"/>
    <w:multiLevelType w:val="multilevel"/>
    <w:tmpl w:val="40FA2990"/>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51E60A5"/>
    <w:multiLevelType w:val="multilevel"/>
    <w:tmpl w:val="DB2496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468D52B0"/>
    <w:multiLevelType w:val="multilevel"/>
    <w:tmpl w:val="0796597C"/>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0" w15:restartNumberingAfterBreak="0">
    <w:nsid w:val="47956331"/>
    <w:multiLevelType w:val="multilevel"/>
    <w:tmpl w:val="516274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4BE9682F"/>
    <w:multiLevelType w:val="multilevel"/>
    <w:tmpl w:val="1F345C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4CCB51F7"/>
    <w:multiLevelType w:val="multilevel"/>
    <w:tmpl w:val="7392365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E7771C8"/>
    <w:multiLevelType w:val="multilevel"/>
    <w:tmpl w:val="CE4E137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4" w15:restartNumberingAfterBreak="0">
    <w:nsid w:val="4EEB5ADB"/>
    <w:multiLevelType w:val="multilevel"/>
    <w:tmpl w:val="7CD21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39A1519"/>
    <w:multiLevelType w:val="multilevel"/>
    <w:tmpl w:val="1504C27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6EB44E5"/>
    <w:multiLevelType w:val="multilevel"/>
    <w:tmpl w:val="771294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57F46370"/>
    <w:multiLevelType w:val="multilevel"/>
    <w:tmpl w:val="128624F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8" w15:restartNumberingAfterBreak="0">
    <w:nsid w:val="58661870"/>
    <w:multiLevelType w:val="multilevel"/>
    <w:tmpl w:val="8B886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93510A2"/>
    <w:multiLevelType w:val="multilevel"/>
    <w:tmpl w:val="A0FC92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9432781"/>
    <w:multiLevelType w:val="multilevel"/>
    <w:tmpl w:val="53E02B3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B633BDD"/>
    <w:multiLevelType w:val="multilevel"/>
    <w:tmpl w:val="96C481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CCB1811"/>
    <w:multiLevelType w:val="multilevel"/>
    <w:tmpl w:val="E972376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5F88423F"/>
    <w:multiLevelType w:val="multilevel"/>
    <w:tmpl w:val="3B187F9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628B2ECD"/>
    <w:multiLevelType w:val="multilevel"/>
    <w:tmpl w:val="4CF6E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39C2276"/>
    <w:multiLevelType w:val="multilevel"/>
    <w:tmpl w:val="7736BB3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6" w15:restartNumberingAfterBreak="0">
    <w:nsid w:val="65954C31"/>
    <w:multiLevelType w:val="multilevel"/>
    <w:tmpl w:val="5AF86DE6"/>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68D32935"/>
    <w:multiLevelType w:val="multilevel"/>
    <w:tmpl w:val="0582CC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95662DF"/>
    <w:multiLevelType w:val="multilevel"/>
    <w:tmpl w:val="9182C67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A1902C0"/>
    <w:multiLevelType w:val="multilevel"/>
    <w:tmpl w:val="50005F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B3D460D"/>
    <w:multiLevelType w:val="multilevel"/>
    <w:tmpl w:val="6E10CD0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BB247CD"/>
    <w:multiLevelType w:val="multilevel"/>
    <w:tmpl w:val="85C6668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52" w15:restartNumberingAfterBreak="0">
    <w:nsid w:val="6BDA4BD2"/>
    <w:multiLevelType w:val="multilevel"/>
    <w:tmpl w:val="0EC4E698"/>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174312F"/>
    <w:multiLevelType w:val="multilevel"/>
    <w:tmpl w:val="4EAC6FA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52B51A3"/>
    <w:multiLevelType w:val="multilevel"/>
    <w:tmpl w:val="37449EB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9882F80"/>
    <w:multiLevelType w:val="multilevel"/>
    <w:tmpl w:val="1BE475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9DD5E38"/>
    <w:multiLevelType w:val="multilevel"/>
    <w:tmpl w:val="848EB9A0"/>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57" w15:restartNumberingAfterBreak="0">
    <w:nsid w:val="7A710270"/>
    <w:multiLevelType w:val="multilevel"/>
    <w:tmpl w:val="6890BD0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C6E69CD"/>
    <w:multiLevelType w:val="multilevel"/>
    <w:tmpl w:val="6BFAB13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59" w15:restartNumberingAfterBreak="0">
    <w:nsid w:val="7F3C7CC0"/>
    <w:multiLevelType w:val="multilevel"/>
    <w:tmpl w:val="2B7449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7FDA2AA1"/>
    <w:multiLevelType w:val="multilevel"/>
    <w:tmpl w:val="4A422B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6"/>
  </w:num>
  <w:num w:numId="2">
    <w:abstractNumId w:val="22"/>
  </w:num>
  <w:num w:numId="3">
    <w:abstractNumId w:val="52"/>
  </w:num>
  <w:num w:numId="4">
    <w:abstractNumId w:val="54"/>
  </w:num>
  <w:num w:numId="5">
    <w:abstractNumId w:val="27"/>
  </w:num>
  <w:num w:numId="6">
    <w:abstractNumId w:val="57"/>
  </w:num>
  <w:num w:numId="7">
    <w:abstractNumId w:val="13"/>
  </w:num>
  <w:num w:numId="8">
    <w:abstractNumId w:val="14"/>
  </w:num>
  <w:num w:numId="9">
    <w:abstractNumId w:val="1"/>
  </w:num>
  <w:num w:numId="10">
    <w:abstractNumId w:val="4"/>
  </w:num>
  <w:num w:numId="11">
    <w:abstractNumId w:val="42"/>
  </w:num>
  <w:num w:numId="12">
    <w:abstractNumId w:val="48"/>
  </w:num>
  <w:num w:numId="13">
    <w:abstractNumId w:val="40"/>
  </w:num>
  <w:num w:numId="14">
    <w:abstractNumId w:val="59"/>
  </w:num>
  <w:num w:numId="15">
    <w:abstractNumId w:val="18"/>
  </w:num>
  <w:num w:numId="16">
    <w:abstractNumId w:val="8"/>
  </w:num>
  <w:num w:numId="17">
    <w:abstractNumId w:val="32"/>
  </w:num>
  <w:num w:numId="18">
    <w:abstractNumId w:val="45"/>
  </w:num>
  <w:num w:numId="19">
    <w:abstractNumId w:val="53"/>
  </w:num>
  <w:num w:numId="20">
    <w:abstractNumId w:val="35"/>
  </w:num>
  <w:num w:numId="21">
    <w:abstractNumId w:val="43"/>
  </w:num>
  <w:num w:numId="22">
    <w:abstractNumId w:val="7"/>
  </w:num>
  <w:num w:numId="23">
    <w:abstractNumId w:val="50"/>
  </w:num>
  <w:num w:numId="24">
    <w:abstractNumId w:val="37"/>
  </w:num>
  <w:num w:numId="25">
    <w:abstractNumId w:val="10"/>
  </w:num>
  <w:num w:numId="26">
    <w:abstractNumId w:val="24"/>
  </w:num>
  <w:num w:numId="27">
    <w:abstractNumId w:val="28"/>
  </w:num>
  <w:num w:numId="28">
    <w:abstractNumId w:val="9"/>
  </w:num>
  <w:num w:numId="29">
    <w:abstractNumId w:val="30"/>
  </w:num>
  <w:num w:numId="30">
    <w:abstractNumId w:val="36"/>
  </w:num>
  <w:num w:numId="31">
    <w:abstractNumId w:val="31"/>
  </w:num>
  <w:num w:numId="32">
    <w:abstractNumId w:val="34"/>
  </w:num>
  <w:num w:numId="33">
    <w:abstractNumId w:val="17"/>
  </w:num>
  <w:num w:numId="34">
    <w:abstractNumId w:val="26"/>
  </w:num>
  <w:num w:numId="35">
    <w:abstractNumId w:val="29"/>
  </w:num>
  <w:num w:numId="36">
    <w:abstractNumId w:val="15"/>
  </w:num>
  <w:num w:numId="37">
    <w:abstractNumId w:val="0"/>
  </w:num>
  <w:num w:numId="38">
    <w:abstractNumId w:val="23"/>
  </w:num>
  <w:num w:numId="39">
    <w:abstractNumId w:val="60"/>
  </w:num>
  <w:num w:numId="40">
    <w:abstractNumId w:val="21"/>
  </w:num>
  <w:num w:numId="41">
    <w:abstractNumId w:val="51"/>
  </w:num>
  <w:num w:numId="42">
    <w:abstractNumId w:val="11"/>
  </w:num>
  <w:num w:numId="43">
    <w:abstractNumId w:val="56"/>
  </w:num>
  <w:num w:numId="44">
    <w:abstractNumId w:val="38"/>
  </w:num>
  <w:num w:numId="45">
    <w:abstractNumId w:val="6"/>
  </w:num>
  <w:num w:numId="46">
    <w:abstractNumId w:val="19"/>
  </w:num>
  <w:num w:numId="47">
    <w:abstractNumId w:val="49"/>
  </w:num>
  <w:num w:numId="48">
    <w:abstractNumId w:val="47"/>
  </w:num>
  <w:num w:numId="49">
    <w:abstractNumId w:val="44"/>
  </w:num>
  <w:num w:numId="50">
    <w:abstractNumId w:val="39"/>
  </w:num>
  <w:num w:numId="51">
    <w:abstractNumId w:val="12"/>
  </w:num>
  <w:num w:numId="52">
    <w:abstractNumId w:val="55"/>
  </w:num>
  <w:num w:numId="53">
    <w:abstractNumId w:val="3"/>
  </w:num>
  <w:num w:numId="54">
    <w:abstractNumId w:val="25"/>
  </w:num>
  <w:num w:numId="55">
    <w:abstractNumId w:val="5"/>
  </w:num>
  <w:num w:numId="56">
    <w:abstractNumId w:val="58"/>
  </w:num>
  <w:num w:numId="57">
    <w:abstractNumId w:val="16"/>
  </w:num>
  <w:num w:numId="58">
    <w:abstractNumId w:val="2"/>
  </w:num>
  <w:num w:numId="59">
    <w:abstractNumId w:val="41"/>
  </w:num>
  <w:num w:numId="60">
    <w:abstractNumId w:val="20"/>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72948"/>
    <w:rsid w:val="00053647"/>
    <w:rsid w:val="00F7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6CCF7-B1A4-4EE1-B07F-2424E77D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6">
    <w:name w:val="WW_OutlineListStyle_1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0"/>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9"/>
      </w:numPr>
    </w:pPr>
  </w:style>
  <w:style w:type="paragraph" w:styleId="ListParagraph">
    <w:name w:val="List Paragraph"/>
    <w:basedOn w:val="Normal"/>
    <w:pPr>
      <w:numPr>
        <w:numId w:val="2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1"/>
      </w:numPr>
      <w:tabs>
        <w:tab w:val="left" w:pos="-915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2"/>
      </w:numPr>
    </w:pPr>
  </w:style>
  <w:style w:type="paragraph" w:customStyle="1" w:styleId="DfESOutNumbered">
    <w:name w:val="DfESOutNumbered"/>
    <w:basedOn w:val="Normal"/>
    <w:pPr>
      <w:widowControl w:val="0"/>
      <w:numPr>
        <w:numId w:val="2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styleId="NormalWeb">
    <w:name w:val="Normal (Web)"/>
    <w:basedOn w:val="Normal"/>
    <w:pPr>
      <w:suppressAutoHyphens w:val="0"/>
      <w:spacing w:before="100" w:after="100" w:line="240" w:lineRule="auto"/>
      <w:textAlignment w:val="auto"/>
    </w:pPr>
    <w:rPr>
      <w:rFonts w:ascii="Times New Roman" w:hAnsi="Times New Roman"/>
      <w:color w:val="auto"/>
    </w:rPr>
  </w:style>
  <w:style w:type="numbering" w:customStyle="1" w:styleId="WWOutlineListStyle15">
    <w:name w:val="WW_OutlineListStyle_15"/>
    <w:basedOn w:val="NoList"/>
    <w:pPr>
      <w:numPr>
        <w:numId w:val="2"/>
      </w:numPr>
    </w:pPr>
  </w:style>
  <w:style w:type="numbering" w:customStyle="1" w:styleId="WWOutlineListStyle14">
    <w:name w:val="WW_OutlineListStyle_14"/>
    <w:basedOn w:val="NoList"/>
    <w:pPr>
      <w:numPr>
        <w:numId w:val="3"/>
      </w:numPr>
    </w:pPr>
  </w:style>
  <w:style w:type="numbering" w:customStyle="1" w:styleId="WWOutlineListStyle13">
    <w:name w:val="WW_OutlineListStyle_13"/>
    <w:basedOn w:val="NoList"/>
    <w:pPr>
      <w:numPr>
        <w:numId w:val="4"/>
      </w:numPr>
    </w:pPr>
  </w:style>
  <w:style w:type="numbering" w:customStyle="1" w:styleId="WWOutlineListStyle12">
    <w:name w:val="WW_OutlineListStyle_12"/>
    <w:basedOn w:val="NoList"/>
    <w:pPr>
      <w:numPr>
        <w:numId w:val="5"/>
      </w:numPr>
    </w:pPr>
  </w:style>
  <w:style w:type="numbering" w:customStyle="1" w:styleId="WWOutlineListStyle11">
    <w:name w:val="WW_OutlineListStyle_11"/>
    <w:basedOn w:val="NoList"/>
    <w:pPr>
      <w:numPr>
        <w:numId w:val="6"/>
      </w:numPr>
    </w:pPr>
  </w:style>
  <w:style w:type="numbering" w:customStyle="1" w:styleId="WWOutlineListStyle10">
    <w:name w:val="WW_OutlineListStyle_10"/>
    <w:basedOn w:val="NoList"/>
    <w:pPr>
      <w:numPr>
        <w:numId w:val="7"/>
      </w:numPr>
    </w:pPr>
  </w:style>
  <w:style w:type="numbering" w:customStyle="1" w:styleId="WWOutlineListStyle9">
    <w:name w:val="WW_OutlineListStyle_9"/>
    <w:basedOn w:val="NoList"/>
    <w:pPr>
      <w:numPr>
        <w:numId w:val="8"/>
      </w:numPr>
    </w:pPr>
  </w:style>
  <w:style w:type="numbering" w:customStyle="1" w:styleId="WWOutlineListStyle8">
    <w:name w:val="WW_OutlineListStyle_8"/>
    <w:basedOn w:val="NoList"/>
    <w:pPr>
      <w:numPr>
        <w:numId w:val="9"/>
      </w:numPr>
    </w:pPr>
  </w:style>
  <w:style w:type="numbering" w:customStyle="1" w:styleId="WWOutlineListStyle7">
    <w:name w:val="WW_OutlineListStyle_7"/>
    <w:basedOn w:val="NoList"/>
    <w:pPr>
      <w:numPr>
        <w:numId w:val="10"/>
      </w:numPr>
    </w:pPr>
  </w:style>
  <w:style w:type="numbering" w:customStyle="1" w:styleId="WWOutlineListStyle6">
    <w:name w:val="WW_OutlineListStyle_6"/>
    <w:basedOn w:val="NoList"/>
    <w:pPr>
      <w:numPr>
        <w:numId w:val="11"/>
      </w:numPr>
    </w:pPr>
  </w:style>
  <w:style w:type="numbering" w:customStyle="1" w:styleId="WWOutlineListStyle5">
    <w:name w:val="WW_OutlineListStyle_5"/>
    <w:basedOn w:val="NoList"/>
    <w:pPr>
      <w:numPr>
        <w:numId w:val="12"/>
      </w:numPr>
    </w:pPr>
  </w:style>
  <w:style w:type="numbering" w:customStyle="1" w:styleId="WWOutlineListStyle4">
    <w:name w:val="WW_OutlineListStyle_4"/>
    <w:basedOn w:val="NoList"/>
    <w:pPr>
      <w:numPr>
        <w:numId w:val="13"/>
      </w:numPr>
    </w:pPr>
  </w:style>
  <w:style w:type="numbering" w:customStyle="1" w:styleId="WWOutlineListStyle3">
    <w:name w:val="WW_OutlineListStyle_3"/>
    <w:basedOn w:val="NoList"/>
    <w:pPr>
      <w:numPr>
        <w:numId w:val="14"/>
      </w:numPr>
    </w:pPr>
  </w:style>
  <w:style w:type="numbering" w:customStyle="1" w:styleId="WWOutlineListStyle2">
    <w:name w:val="WW_OutlineListStyle_2"/>
    <w:basedOn w:val="NoList"/>
    <w:pPr>
      <w:numPr>
        <w:numId w:val="15"/>
      </w:numPr>
    </w:pPr>
  </w:style>
  <w:style w:type="numbering" w:customStyle="1" w:styleId="WWOutlineListStyle1">
    <w:name w:val="WW_OutlineListStyle_1"/>
    <w:basedOn w:val="NoList"/>
    <w:pPr>
      <w:numPr>
        <w:numId w:val="16"/>
      </w:numPr>
    </w:pPr>
  </w:style>
  <w:style w:type="numbering" w:customStyle="1" w:styleId="WWOutlineListStyle">
    <w:name w:val="WW_OutlineListStyle"/>
    <w:basedOn w:val="NoList"/>
    <w:pPr>
      <w:numPr>
        <w:numId w:val="17"/>
      </w:numPr>
    </w:pPr>
  </w:style>
  <w:style w:type="numbering" w:customStyle="1" w:styleId="LFO3">
    <w:name w:val="LFO3"/>
    <w:basedOn w:val="NoList"/>
    <w:pPr>
      <w:numPr>
        <w:numId w:val="18"/>
      </w:numPr>
    </w:pPr>
  </w:style>
  <w:style w:type="numbering" w:customStyle="1" w:styleId="LFO4">
    <w:name w:val="LFO4"/>
    <w:basedOn w:val="NoList"/>
    <w:pPr>
      <w:numPr>
        <w:numId w:val="19"/>
      </w:numPr>
    </w:pPr>
  </w:style>
  <w:style w:type="numbering" w:customStyle="1" w:styleId="LFO6">
    <w:name w:val="LFO6"/>
    <w:basedOn w:val="NoList"/>
    <w:pPr>
      <w:numPr>
        <w:numId w:val="20"/>
      </w:numPr>
    </w:pPr>
  </w:style>
  <w:style w:type="numbering" w:customStyle="1" w:styleId="LFO9">
    <w:name w:val="LFO9"/>
    <w:basedOn w:val="NoList"/>
    <w:pPr>
      <w:numPr>
        <w:numId w:val="21"/>
      </w:numPr>
    </w:pPr>
  </w:style>
  <w:style w:type="numbering" w:customStyle="1" w:styleId="LFO10">
    <w:name w:val="LFO10"/>
    <w:basedOn w:val="NoList"/>
    <w:pPr>
      <w:numPr>
        <w:numId w:val="22"/>
      </w:numPr>
    </w:pPr>
  </w:style>
  <w:style w:type="numbering" w:customStyle="1" w:styleId="LFO25">
    <w:name w:val="LFO25"/>
    <w:basedOn w:val="NoList"/>
    <w:pPr>
      <w:numPr>
        <w:numId w:val="23"/>
      </w:numPr>
    </w:pPr>
  </w:style>
  <w:style w:type="numbering" w:customStyle="1" w:styleId="LFO28">
    <w:name w:val="LFO28"/>
    <w:basedOn w:val="NoList"/>
    <w:pPr>
      <w:numPr>
        <w:numId w:val="24"/>
      </w:numPr>
    </w:pPr>
  </w:style>
  <w:style w:type="numbering" w:customStyle="1" w:styleId="LFO30">
    <w:name w:val="LFO30"/>
    <w:basedOn w:val="NoList"/>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endowmentfoundation.org.uk/evidence-summaries/pupil-premium-guid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uk/guidance/pupil-premium-effective-use-and-accountability" TargetMode="External"/><Relationship Id="rId17" Type="http://schemas.openxmlformats.org/officeDocument/2006/relationships/hyperlink" Target="http://www.gov.uk/government/publications/the-service-pupil-premium" TargetMode="External"/><Relationship Id="rId2" Type="http://schemas.openxmlformats.org/officeDocument/2006/relationships/numbering" Target="numbering.xml"/><Relationship Id="rId16" Type="http://schemas.openxmlformats.org/officeDocument/2006/relationships/hyperlink" Target="https://www.gov.uk/government/publications/pupil-premium-allocations-and-conditions-of-grant-2019-to-2020/pupil-premium-conditions-of-grant-2019-to-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upil-premium-strategy-statements"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early-years-toolkit" TargetMode="External"/><Relationship Id="rId10" Type="http://schemas.openxmlformats.org/officeDocument/2006/relationships/hyperlink" Target="https://www.gov.uk/guidance/pupil-premium-strategy-statement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v.uk/government/publications/pupil-premium/pupil-premium" TargetMode="External"/><Relationship Id="rId14" Type="http://schemas.openxmlformats.org/officeDocument/2006/relationships/hyperlink" Target="https://educationendowmentfoundation.org.uk/evidence-summaries/teaching-learning-toolki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1BC7-2CBF-4B53-9F59-FEC42136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RM Education</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Alison Grantham</cp:lastModifiedBy>
  <cp:revision>2</cp:revision>
  <cp:lastPrinted>2014-09-17T13:26:00Z</cp:lastPrinted>
  <dcterms:created xsi:type="dcterms:W3CDTF">2020-10-09T12:28:00Z</dcterms:created>
  <dcterms:modified xsi:type="dcterms:W3CDTF">2020-10-09T12:28:00Z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